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3BA8" w14:textId="0D7BE97B" w:rsidR="00835C45" w:rsidRDefault="00835C45" w:rsidP="00835C45">
      <w:pPr>
        <w:spacing w:line="360" w:lineRule="auto"/>
        <w:rPr>
          <w:rFonts w:ascii="Times New Roman" w:hAnsi="Times New Roman" w:cs="Times New Roman"/>
          <w:b/>
          <w:bCs/>
          <w:sz w:val="28"/>
          <w:szCs w:val="28"/>
        </w:rPr>
      </w:pPr>
      <w:r>
        <w:rPr>
          <w:rFonts w:ascii="Times New Roman" w:hAnsi="Times New Roman" w:cs="Times New Roman"/>
          <w:b/>
          <w:bCs/>
          <w:sz w:val="28"/>
          <w:szCs w:val="28"/>
        </w:rPr>
        <w:t>Maturity status</w:t>
      </w:r>
      <w:r w:rsidR="0008264B">
        <w:rPr>
          <w:rFonts w:ascii="Times New Roman" w:hAnsi="Times New Roman" w:cs="Times New Roman"/>
          <w:b/>
          <w:bCs/>
          <w:sz w:val="28"/>
          <w:szCs w:val="28"/>
        </w:rPr>
        <w:t xml:space="preserve"> </w:t>
      </w:r>
      <w:r>
        <w:rPr>
          <w:rFonts w:ascii="Times New Roman" w:hAnsi="Times New Roman" w:cs="Times New Roman"/>
          <w:b/>
          <w:bCs/>
          <w:sz w:val="28"/>
          <w:szCs w:val="28"/>
        </w:rPr>
        <w:t>influences</w:t>
      </w:r>
      <w:r w:rsidRPr="005C39A9">
        <w:rPr>
          <w:rFonts w:ascii="Times New Roman" w:hAnsi="Times New Roman" w:cs="Times New Roman"/>
          <w:b/>
          <w:bCs/>
          <w:sz w:val="28"/>
          <w:szCs w:val="28"/>
        </w:rPr>
        <w:t xml:space="preserve"> </w:t>
      </w:r>
      <w:r w:rsidR="0008264B">
        <w:rPr>
          <w:rFonts w:ascii="Times New Roman" w:hAnsi="Times New Roman" w:cs="Times New Roman"/>
          <w:b/>
          <w:bCs/>
          <w:sz w:val="28"/>
          <w:szCs w:val="28"/>
        </w:rPr>
        <w:t xml:space="preserve">perceived </w:t>
      </w:r>
      <w:r w:rsidRPr="005C39A9">
        <w:rPr>
          <w:rFonts w:ascii="Times New Roman" w:hAnsi="Times New Roman" w:cs="Times New Roman"/>
          <w:b/>
          <w:bCs/>
          <w:sz w:val="28"/>
          <w:szCs w:val="28"/>
        </w:rPr>
        <w:t xml:space="preserve">training load and neuromuscular performance during an </w:t>
      </w:r>
      <w:r>
        <w:rPr>
          <w:rFonts w:ascii="Times New Roman" w:hAnsi="Times New Roman" w:cs="Times New Roman"/>
          <w:b/>
          <w:bCs/>
          <w:sz w:val="28"/>
          <w:szCs w:val="28"/>
        </w:rPr>
        <w:t>a</w:t>
      </w:r>
      <w:r w:rsidRPr="005C39A9">
        <w:rPr>
          <w:rFonts w:ascii="Times New Roman" w:hAnsi="Times New Roman" w:cs="Times New Roman"/>
          <w:b/>
          <w:bCs/>
          <w:sz w:val="28"/>
          <w:szCs w:val="28"/>
        </w:rPr>
        <w:t>cademy soccer season</w:t>
      </w:r>
    </w:p>
    <w:p w14:paraId="4940482A" w14:textId="77777777" w:rsidR="00835C45" w:rsidRPr="007F6435" w:rsidRDefault="00835C45" w:rsidP="00835C45">
      <w:pPr>
        <w:spacing w:line="360" w:lineRule="auto"/>
        <w:rPr>
          <w:rFonts w:ascii="Times New Roman" w:hAnsi="Times New Roman" w:cs="Times New Roman"/>
          <w:sz w:val="20"/>
          <w:szCs w:val="20"/>
        </w:rPr>
      </w:pPr>
      <w:r w:rsidRPr="007F6435">
        <w:rPr>
          <w:rFonts w:ascii="Times New Roman" w:hAnsi="Times New Roman" w:cs="Times New Roman"/>
          <w:sz w:val="20"/>
          <w:szCs w:val="20"/>
        </w:rPr>
        <w:t>Jamie Salter</w:t>
      </w:r>
      <w:r w:rsidRPr="007F6435">
        <w:rPr>
          <w:rFonts w:ascii="Times New Roman" w:hAnsi="Times New Roman" w:cs="Times New Roman"/>
          <w:sz w:val="20"/>
          <w:szCs w:val="20"/>
          <w:vertAlign w:val="superscript"/>
        </w:rPr>
        <w:t>1</w:t>
      </w:r>
      <w:r>
        <w:rPr>
          <w:rFonts w:ascii="Times New Roman" w:hAnsi="Times New Roman" w:cs="Times New Roman"/>
          <w:sz w:val="20"/>
          <w:szCs w:val="20"/>
          <w:vertAlign w:val="superscript"/>
        </w:rPr>
        <w:t>,</w:t>
      </w:r>
      <w:r w:rsidRPr="007F6435">
        <w:rPr>
          <w:rFonts w:ascii="Times New Roman" w:hAnsi="Times New Roman" w:cs="Times New Roman"/>
          <w:sz w:val="20"/>
          <w:szCs w:val="20"/>
          <w:vertAlign w:val="superscript"/>
        </w:rPr>
        <w:t>2</w:t>
      </w:r>
      <w:r w:rsidRPr="007F6435">
        <w:rPr>
          <w:rFonts w:ascii="Times New Roman" w:hAnsi="Times New Roman" w:cs="Times New Roman"/>
          <w:sz w:val="20"/>
          <w:szCs w:val="20"/>
        </w:rPr>
        <w:t>, Ross Julian</w:t>
      </w:r>
      <w:r w:rsidRPr="008C1440">
        <w:rPr>
          <w:rFonts w:ascii="Times New Roman" w:hAnsi="Times New Roman" w:cs="Times New Roman"/>
          <w:sz w:val="20"/>
          <w:szCs w:val="20"/>
          <w:vertAlign w:val="superscript"/>
        </w:rPr>
        <w:t>2,</w:t>
      </w:r>
      <w:r w:rsidRPr="007F6435">
        <w:rPr>
          <w:rFonts w:ascii="Times New Roman" w:hAnsi="Times New Roman" w:cs="Times New Roman"/>
          <w:sz w:val="20"/>
          <w:szCs w:val="20"/>
          <w:vertAlign w:val="superscript"/>
        </w:rPr>
        <w:t>3</w:t>
      </w:r>
      <w:r w:rsidRPr="007F6435">
        <w:rPr>
          <w:rFonts w:ascii="Times New Roman" w:hAnsi="Times New Roman" w:cs="Times New Roman"/>
          <w:sz w:val="20"/>
          <w:szCs w:val="20"/>
        </w:rPr>
        <w:t xml:space="preserve">, Stijn </w:t>
      </w:r>
      <w:r>
        <w:rPr>
          <w:rFonts w:ascii="Times New Roman" w:hAnsi="Times New Roman" w:cs="Times New Roman"/>
          <w:sz w:val="20"/>
          <w:szCs w:val="20"/>
        </w:rPr>
        <w:t xml:space="preserve">V. </w:t>
      </w:r>
      <w:r w:rsidRPr="007F6435">
        <w:rPr>
          <w:rFonts w:ascii="Times New Roman" w:hAnsi="Times New Roman" w:cs="Times New Roman"/>
          <w:sz w:val="20"/>
          <w:szCs w:val="20"/>
        </w:rPr>
        <w:t>Mentzel</w:t>
      </w:r>
      <w:r>
        <w:rPr>
          <w:rFonts w:ascii="Times New Roman" w:hAnsi="Times New Roman" w:cs="Times New Roman"/>
          <w:sz w:val="20"/>
          <w:szCs w:val="20"/>
          <w:vertAlign w:val="superscript"/>
        </w:rPr>
        <w:t>3</w:t>
      </w:r>
      <w:r w:rsidRPr="007F6435">
        <w:rPr>
          <w:rFonts w:ascii="Times New Roman" w:hAnsi="Times New Roman" w:cs="Times New Roman"/>
          <w:sz w:val="20"/>
          <w:szCs w:val="20"/>
        </w:rPr>
        <w:t xml:space="preserve">, </w:t>
      </w:r>
      <w:r>
        <w:rPr>
          <w:rFonts w:ascii="Times New Roman" w:hAnsi="Times New Roman" w:cs="Times New Roman"/>
          <w:sz w:val="20"/>
          <w:szCs w:val="20"/>
        </w:rPr>
        <w:t>Alastair Hamilton</w:t>
      </w:r>
      <w:r w:rsidRPr="005B7A8A">
        <w:rPr>
          <w:rFonts w:ascii="Times New Roman" w:hAnsi="Times New Roman" w:cs="Times New Roman"/>
          <w:sz w:val="20"/>
          <w:szCs w:val="20"/>
          <w:vertAlign w:val="superscript"/>
        </w:rPr>
        <w:t>4</w:t>
      </w:r>
      <w:r>
        <w:rPr>
          <w:rFonts w:ascii="Times New Roman" w:hAnsi="Times New Roman" w:cs="Times New Roman"/>
          <w:sz w:val="20"/>
          <w:szCs w:val="20"/>
        </w:rPr>
        <w:t xml:space="preserve">, </w:t>
      </w:r>
      <w:r w:rsidRPr="007F6435">
        <w:rPr>
          <w:rFonts w:ascii="Times New Roman" w:hAnsi="Times New Roman" w:cs="Times New Roman"/>
          <w:sz w:val="20"/>
          <w:szCs w:val="20"/>
        </w:rPr>
        <w:t>Jonathan</w:t>
      </w:r>
      <w:r>
        <w:rPr>
          <w:rFonts w:ascii="Times New Roman" w:hAnsi="Times New Roman" w:cs="Times New Roman"/>
          <w:sz w:val="20"/>
          <w:szCs w:val="20"/>
        </w:rPr>
        <w:t xml:space="preserve"> D. H</w:t>
      </w:r>
      <w:r w:rsidRPr="007F6435">
        <w:rPr>
          <w:rFonts w:ascii="Times New Roman" w:hAnsi="Times New Roman" w:cs="Times New Roman"/>
          <w:sz w:val="20"/>
          <w:szCs w:val="20"/>
        </w:rPr>
        <w:t>ughes</w:t>
      </w:r>
      <w:r w:rsidRPr="007F6435">
        <w:rPr>
          <w:rFonts w:ascii="Times New Roman" w:hAnsi="Times New Roman" w:cs="Times New Roman"/>
          <w:sz w:val="20"/>
          <w:szCs w:val="20"/>
          <w:vertAlign w:val="superscript"/>
        </w:rPr>
        <w:t>2</w:t>
      </w:r>
      <w:r w:rsidRPr="007F6435">
        <w:rPr>
          <w:rFonts w:ascii="Times New Roman" w:hAnsi="Times New Roman" w:cs="Times New Roman"/>
          <w:sz w:val="20"/>
          <w:szCs w:val="20"/>
        </w:rPr>
        <w:t xml:space="preserve"> and Mark De St Croix</w:t>
      </w:r>
      <w:r w:rsidRPr="007F6435">
        <w:rPr>
          <w:rFonts w:ascii="Times New Roman" w:hAnsi="Times New Roman" w:cs="Times New Roman"/>
          <w:sz w:val="20"/>
          <w:szCs w:val="20"/>
          <w:vertAlign w:val="superscript"/>
        </w:rPr>
        <w:t>2</w:t>
      </w:r>
    </w:p>
    <w:p w14:paraId="421D4C93" w14:textId="77777777" w:rsidR="00835C45" w:rsidRDefault="00835C45" w:rsidP="00835C45">
      <w:pPr>
        <w:spacing w:line="480" w:lineRule="auto"/>
        <w:rPr>
          <w:rFonts w:ascii="Times New Roman" w:hAnsi="Times New Roman" w:cs="Times New Roman"/>
          <w:b/>
          <w:bCs/>
          <w:sz w:val="21"/>
          <w:szCs w:val="21"/>
        </w:rPr>
      </w:pPr>
    </w:p>
    <w:p w14:paraId="790F790B" w14:textId="77777777" w:rsidR="00835C45" w:rsidRPr="00864D97" w:rsidRDefault="00835C45" w:rsidP="00835C45">
      <w:pPr>
        <w:spacing w:line="480" w:lineRule="auto"/>
        <w:rPr>
          <w:rFonts w:ascii="Times New Roman" w:hAnsi="Times New Roman" w:cs="Times New Roman"/>
          <w:b/>
          <w:bCs/>
          <w:sz w:val="21"/>
          <w:szCs w:val="21"/>
        </w:rPr>
      </w:pPr>
      <w:r w:rsidRPr="00864D97">
        <w:rPr>
          <w:rFonts w:ascii="Times New Roman" w:hAnsi="Times New Roman" w:cs="Times New Roman"/>
          <w:b/>
          <w:bCs/>
          <w:sz w:val="21"/>
          <w:szCs w:val="21"/>
        </w:rPr>
        <w:t>Affiliations:</w:t>
      </w:r>
    </w:p>
    <w:p w14:paraId="61A38C70" w14:textId="77777777" w:rsidR="00835C45" w:rsidRPr="00864D97" w:rsidRDefault="00835C45" w:rsidP="00835C45">
      <w:pPr>
        <w:pStyle w:val="ListParagraph"/>
        <w:numPr>
          <w:ilvl w:val="0"/>
          <w:numId w:val="6"/>
        </w:numPr>
        <w:spacing w:line="480" w:lineRule="auto"/>
        <w:rPr>
          <w:rFonts w:ascii="Times New Roman" w:hAnsi="Times New Roman" w:cs="Times New Roman"/>
          <w:i/>
          <w:iCs/>
          <w:sz w:val="21"/>
          <w:szCs w:val="21"/>
        </w:rPr>
      </w:pPr>
      <w:r w:rsidRPr="00864D97">
        <w:rPr>
          <w:rFonts w:ascii="Times New Roman" w:hAnsi="Times New Roman" w:cs="Times New Roman"/>
          <w:i/>
          <w:iCs/>
          <w:sz w:val="21"/>
          <w:szCs w:val="21"/>
        </w:rPr>
        <w:t>School of Science, Technology and Health, York St John University, York, England</w:t>
      </w:r>
    </w:p>
    <w:p w14:paraId="5A4F7ED3" w14:textId="77777777" w:rsidR="00835C45" w:rsidRDefault="00835C45" w:rsidP="00835C45">
      <w:pPr>
        <w:pStyle w:val="ListParagraph"/>
        <w:numPr>
          <w:ilvl w:val="0"/>
          <w:numId w:val="6"/>
        </w:numPr>
        <w:spacing w:line="480" w:lineRule="auto"/>
        <w:rPr>
          <w:rFonts w:ascii="Times New Roman" w:hAnsi="Times New Roman" w:cs="Times New Roman"/>
          <w:i/>
          <w:iCs/>
          <w:sz w:val="21"/>
          <w:szCs w:val="21"/>
        </w:rPr>
      </w:pPr>
      <w:r w:rsidRPr="00864D97">
        <w:rPr>
          <w:rFonts w:ascii="Times New Roman" w:hAnsi="Times New Roman" w:cs="Times New Roman"/>
          <w:i/>
          <w:iCs/>
          <w:sz w:val="21"/>
          <w:szCs w:val="21"/>
        </w:rPr>
        <w:t>School of Sport and Exercise, University of Gloucestershire, Gloucester, England</w:t>
      </w:r>
    </w:p>
    <w:p w14:paraId="36C15233" w14:textId="77777777" w:rsidR="00835C45" w:rsidRDefault="00835C45" w:rsidP="00835C45">
      <w:pPr>
        <w:pStyle w:val="ListParagraph"/>
        <w:numPr>
          <w:ilvl w:val="0"/>
          <w:numId w:val="6"/>
        </w:numPr>
        <w:spacing w:line="480" w:lineRule="auto"/>
        <w:rPr>
          <w:rFonts w:ascii="Times New Roman" w:hAnsi="Times New Roman" w:cs="Times New Roman"/>
          <w:i/>
          <w:iCs/>
          <w:sz w:val="21"/>
          <w:szCs w:val="21"/>
        </w:rPr>
      </w:pPr>
      <w:r>
        <w:rPr>
          <w:rFonts w:ascii="Times New Roman" w:hAnsi="Times New Roman" w:cs="Times New Roman"/>
          <w:i/>
          <w:iCs/>
          <w:sz w:val="21"/>
          <w:szCs w:val="21"/>
        </w:rPr>
        <w:t>Institute of Sport and Exercise Sciences, University of Muenster, Muenster, Germany</w:t>
      </w:r>
    </w:p>
    <w:p w14:paraId="317B376F" w14:textId="77777777" w:rsidR="00835C45" w:rsidRPr="007F6435" w:rsidRDefault="00835C45" w:rsidP="00835C45">
      <w:pPr>
        <w:pStyle w:val="ListParagraph"/>
        <w:numPr>
          <w:ilvl w:val="0"/>
          <w:numId w:val="6"/>
        </w:numPr>
        <w:spacing w:line="480" w:lineRule="auto"/>
        <w:rPr>
          <w:rFonts w:ascii="Times New Roman" w:hAnsi="Times New Roman" w:cs="Times New Roman"/>
          <w:i/>
          <w:iCs/>
          <w:sz w:val="21"/>
          <w:szCs w:val="21"/>
        </w:rPr>
      </w:pPr>
      <w:r>
        <w:rPr>
          <w:rFonts w:ascii="Times New Roman" w:hAnsi="Times New Roman" w:cs="Times New Roman"/>
          <w:i/>
          <w:iCs/>
          <w:sz w:val="21"/>
          <w:szCs w:val="21"/>
        </w:rPr>
        <w:t>Hull City FC, Hull, England, UK</w:t>
      </w:r>
    </w:p>
    <w:p w14:paraId="5F0A6D0C" w14:textId="77777777" w:rsidR="00835C45" w:rsidRPr="00864D97" w:rsidRDefault="00835C45" w:rsidP="00835C45">
      <w:pPr>
        <w:spacing w:line="480" w:lineRule="auto"/>
        <w:rPr>
          <w:rFonts w:ascii="Times New Roman" w:hAnsi="Times New Roman" w:cs="Times New Roman"/>
          <w:sz w:val="21"/>
          <w:szCs w:val="21"/>
        </w:rPr>
      </w:pPr>
    </w:p>
    <w:p w14:paraId="2E064964" w14:textId="77777777" w:rsidR="00835C45" w:rsidRPr="00864D97" w:rsidRDefault="00835C45" w:rsidP="00835C45">
      <w:pPr>
        <w:spacing w:line="480" w:lineRule="auto"/>
        <w:rPr>
          <w:rFonts w:ascii="Times New Roman" w:hAnsi="Times New Roman" w:cs="Times New Roman"/>
          <w:sz w:val="21"/>
          <w:szCs w:val="21"/>
        </w:rPr>
      </w:pPr>
      <w:r w:rsidRPr="00864D97">
        <w:rPr>
          <w:rFonts w:ascii="Times New Roman" w:hAnsi="Times New Roman" w:cs="Times New Roman"/>
          <w:b/>
          <w:bCs/>
          <w:sz w:val="21"/>
          <w:szCs w:val="21"/>
        </w:rPr>
        <w:t xml:space="preserve">Running Head: </w:t>
      </w:r>
      <w:r>
        <w:rPr>
          <w:rFonts w:ascii="Times New Roman" w:hAnsi="Times New Roman" w:cs="Times New Roman"/>
          <w:i/>
          <w:iCs/>
          <w:sz w:val="21"/>
          <w:szCs w:val="21"/>
        </w:rPr>
        <w:t xml:space="preserve">Maturity status influences training load and performance </w:t>
      </w:r>
    </w:p>
    <w:p w14:paraId="423A479C" w14:textId="77777777" w:rsidR="00835C45" w:rsidRDefault="00835C45" w:rsidP="00835C45">
      <w:pPr>
        <w:spacing w:line="480" w:lineRule="auto"/>
        <w:rPr>
          <w:rFonts w:ascii="Times New Roman" w:hAnsi="Times New Roman" w:cs="Times New Roman"/>
          <w:b/>
          <w:bCs/>
          <w:sz w:val="21"/>
          <w:szCs w:val="21"/>
        </w:rPr>
      </w:pPr>
    </w:p>
    <w:p w14:paraId="50DA140C" w14:textId="77777777" w:rsidR="00835C45" w:rsidRPr="00864D97" w:rsidRDefault="00835C45" w:rsidP="00835C45">
      <w:pPr>
        <w:spacing w:line="480" w:lineRule="auto"/>
        <w:rPr>
          <w:rFonts w:ascii="Times New Roman" w:hAnsi="Times New Roman" w:cs="Times New Roman"/>
          <w:b/>
          <w:bCs/>
          <w:sz w:val="21"/>
          <w:szCs w:val="21"/>
        </w:rPr>
      </w:pPr>
      <w:r w:rsidRPr="00864D97">
        <w:rPr>
          <w:rFonts w:ascii="Times New Roman" w:hAnsi="Times New Roman" w:cs="Times New Roman"/>
          <w:b/>
          <w:bCs/>
          <w:sz w:val="21"/>
          <w:szCs w:val="21"/>
        </w:rPr>
        <w:t>Corresponding Author:</w:t>
      </w:r>
    </w:p>
    <w:p w14:paraId="593FEB2C" w14:textId="77777777" w:rsidR="00835C45" w:rsidRPr="00864D97" w:rsidRDefault="00835C45" w:rsidP="00835C45">
      <w:pPr>
        <w:spacing w:line="480" w:lineRule="auto"/>
        <w:rPr>
          <w:rFonts w:ascii="Times New Roman" w:hAnsi="Times New Roman" w:cs="Times New Roman"/>
          <w:sz w:val="21"/>
          <w:szCs w:val="21"/>
        </w:rPr>
      </w:pPr>
      <w:r w:rsidRPr="00864D97">
        <w:rPr>
          <w:rFonts w:ascii="Times New Roman" w:hAnsi="Times New Roman" w:cs="Times New Roman"/>
          <w:sz w:val="21"/>
          <w:szCs w:val="21"/>
        </w:rPr>
        <w:t>Jamie Salter</w:t>
      </w:r>
    </w:p>
    <w:p w14:paraId="042DD686" w14:textId="77777777" w:rsidR="00835C45" w:rsidRPr="00864D97" w:rsidRDefault="00835C45" w:rsidP="00835C45">
      <w:pPr>
        <w:spacing w:line="480" w:lineRule="auto"/>
        <w:rPr>
          <w:rFonts w:ascii="Times New Roman" w:hAnsi="Times New Roman" w:cs="Times New Roman"/>
          <w:sz w:val="21"/>
          <w:szCs w:val="21"/>
        </w:rPr>
      </w:pPr>
      <w:r w:rsidRPr="00864D97">
        <w:rPr>
          <w:rFonts w:ascii="Times New Roman" w:hAnsi="Times New Roman" w:cs="Times New Roman"/>
          <w:sz w:val="21"/>
          <w:szCs w:val="21"/>
        </w:rPr>
        <w:t>School of Science, Technology and Health</w:t>
      </w:r>
    </w:p>
    <w:p w14:paraId="6D8B767E" w14:textId="77777777" w:rsidR="00835C45" w:rsidRPr="00864D97" w:rsidRDefault="00835C45" w:rsidP="00835C45">
      <w:pPr>
        <w:spacing w:line="480" w:lineRule="auto"/>
        <w:rPr>
          <w:rFonts w:ascii="Times New Roman" w:hAnsi="Times New Roman" w:cs="Times New Roman"/>
          <w:sz w:val="21"/>
          <w:szCs w:val="21"/>
        </w:rPr>
      </w:pPr>
      <w:r w:rsidRPr="00864D97">
        <w:rPr>
          <w:rFonts w:ascii="Times New Roman" w:hAnsi="Times New Roman" w:cs="Times New Roman"/>
          <w:sz w:val="21"/>
          <w:szCs w:val="21"/>
        </w:rPr>
        <w:t>York St John University</w:t>
      </w:r>
    </w:p>
    <w:p w14:paraId="1A4DB93C" w14:textId="77777777" w:rsidR="00835C45" w:rsidRPr="00864D97" w:rsidRDefault="00835C45" w:rsidP="00835C45">
      <w:pPr>
        <w:spacing w:line="480" w:lineRule="auto"/>
        <w:rPr>
          <w:rFonts w:ascii="Times New Roman" w:hAnsi="Times New Roman" w:cs="Times New Roman"/>
          <w:sz w:val="21"/>
          <w:szCs w:val="21"/>
        </w:rPr>
      </w:pPr>
      <w:r w:rsidRPr="00864D97">
        <w:rPr>
          <w:rFonts w:ascii="Times New Roman" w:hAnsi="Times New Roman" w:cs="Times New Roman"/>
          <w:sz w:val="21"/>
          <w:szCs w:val="21"/>
        </w:rPr>
        <w:t>Lord Mayors Walk</w:t>
      </w:r>
    </w:p>
    <w:p w14:paraId="32C7F735" w14:textId="77777777" w:rsidR="00835C45" w:rsidRPr="00864D97" w:rsidRDefault="00835C45" w:rsidP="00835C45">
      <w:pPr>
        <w:spacing w:line="480" w:lineRule="auto"/>
        <w:rPr>
          <w:rFonts w:ascii="Times New Roman" w:hAnsi="Times New Roman" w:cs="Times New Roman"/>
          <w:sz w:val="21"/>
          <w:szCs w:val="21"/>
        </w:rPr>
      </w:pPr>
      <w:r w:rsidRPr="00864D97">
        <w:rPr>
          <w:rFonts w:ascii="Times New Roman" w:hAnsi="Times New Roman" w:cs="Times New Roman"/>
          <w:sz w:val="21"/>
          <w:szCs w:val="21"/>
        </w:rPr>
        <w:t>York, YO31 7EX</w:t>
      </w:r>
    </w:p>
    <w:p w14:paraId="3C637FE0" w14:textId="77777777" w:rsidR="00835C45" w:rsidRPr="00864D97" w:rsidRDefault="00A2361E" w:rsidP="00835C45">
      <w:pPr>
        <w:spacing w:line="480" w:lineRule="auto"/>
        <w:rPr>
          <w:rFonts w:ascii="Times New Roman" w:hAnsi="Times New Roman" w:cs="Times New Roman"/>
          <w:sz w:val="21"/>
          <w:szCs w:val="21"/>
        </w:rPr>
      </w:pPr>
      <w:hyperlink r:id="rId5" w:history="1">
        <w:r w:rsidR="00835C45" w:rsidRPr="00864D97">
          <w:rPr>
            <w:rStyle w:val="Hyperlink"/>
            <w:rFonts w:ascii="Times New Roman" w:hAnsi="Times New Roman" w:cs="Times New Roman"/>
            <w:sz w:val="21"/>
            <w:szCs w:val="21"/>
          </w:rPr>
          <w:t>j.salter@yorksj.ac.uk</w:t>
        </w:r>
      </w:hyperlink>
    </w:p>
    <w:p w14:paraId="502D8320" w14:textId="77777777" w:rsidR="00835C45" w:rsidRPr="00864D97" w:rsidRDefault="00835C45" w:rsidP="00835C45">
      <w:pPr>
        <w:spacing w:line="480" w:lineRule="auto"/>
        <w:rPr>
          <w:rFonts w:ascii="Times New Roman" w:hAnsi="Times New Roman" w:cs="Times New Roman"/>
          <w:sz w:val="21"/>
          <w:szCs w:val="21"/>
        </w:rPr>
      </w:pPr>
      <w:r w:rsidRPr="00864D97">
        <w:rPr>
          <w:rFonts w:ascii="Times New Roman" w:hAnsi="Times New Roman" w:cs="Times New Roman"/>
          <w:sz w:val="21"/>
          <w:szCs w:val="21"/>
        </w:rPr>
        <w:t>@</w:t>
      </w:r>
      <w:proofErr w:type="gramStart"/>
      <w:r w:rsidRPr="00864D97">
        <w:rPr>
          <w:rFonts w:ascii="Times New Roman" w:hAnsi="Times New Roman" w:cs="Times New Roman"/>
          <w:sz w:val="21"/>
          <w:szCs w:val="21"/>
        </w:rPr>
        <w:t>jay</w:t>
      </w:r>
      <w:proofErr w:type="gramEnd"/>
      <w:r w:rsidRPr="00864D97">
        <w:rPr>
          <w:rFonts w:ascii="Times New Roman" w:hAnsi="Times New Roman" w:cs="Times New Roman"/>
          <w:sz w:val="21"/>
          <w:szCs w:val="21"/>
        </w:rPr>
        <w:t>_salter</w:t>
      </w:r>
    </w:p>
    <w:p w14:paraId="7D0C38CA" w14:textId="77777777" w:rsidR="00835C45" w:rsidRPr="00864D97" w:rsidRDefault="00835C45" w:rsidP="00835C45">
      <w:pPr>
        <w:spacing w:line="480" w:lineRule="auto"/>
        <w:rPr>
          <w:rFonts w:ascii="Times New Roman" w:hAnsi="Times New Roman" w:cs="Times New Roman"/>
          <w:sz w:val="21"/>
          <w:szCs w:val="21"/>
        </w:rPr>
      </w:pPr>
      <w:proofErr w:type="spellStart"/>
      <w:r w:rsidRPr="00864D97">
        <w:rPr>
          <w:rFonts w:ascii="Times New Roman" w:hAnsi="Times New Roman" w:cs="Times New Roman"/>
          <w:sz w:val="21"/>
          <w:szCs w:val="21"/>
        </w:rPr>
        <w:t>ORCiD</w:t>
      </w:r>
      <w:proofErr w:type="spellEnd"/>
      <w:r w:rsidRPr="00864D97">
        <w:rPr>
          <w:rFonts w:ascii="Times New Roman" w:hAnsi="Times New Roman" w:cs="Times New Roman"/>
          <w:sz w:val="21"/>
          <w:szCs w:val="21"/>
        </w:rPr>
        <w:t>: 000-0002-7375-147</w:t>
      </w:r>
    </w:p>
    <w:p w14:paraId="58EB993D" w14:textId="77777777" w:rsidR="00835C45" w:rsidRPr="00864D97" w:rsidRDefault="00835C45" w:rsidP="00835C45">
      <w:pPr>
        <w:spacing w:line="480" w:lineRule="auto"/>
        <w:rPr>
          <w:rFonts w:ascii="Times New Roman" w:hAnsi="Times New Roman" w:cs="Times New Roman"/>
          <w:sz w:val="21"/>
          <w:szCs w:val="21"/>
        </w:rPr>
      </w:pPr>
    </w:p>
    <w:p w14:paraId="61629CBD" w14:textId="22A4376F" w:rsidR="00835C45" w:rsidRPr="00864D97" w:rsidRDefault="00835C45" w:rsidP="00835C45">
      <w:pPr>
        <w:spacing w:line="480" w:lineRule="auto"/>
        <w:rPr>
          <w:rFonts w:ascii="Times New Roman" w:hAnsi="Times New Roman" w:cs="Times New Roman"/>
          <w:sz w:val="21"/>
          <w:szCs w:val="21"/>
        </w:rPr>
      </w:pPr>
      <w:r w:rsidRPr="00864D97">
        <w:rPr>
          <w:rFonts w:ascii="Times New Roman" w:hAnsi="Times New Roman" w:cs="Times New Roman"/>
          <w:sz w:val="21"/>
          <w:szCs w:val="21"/>
        </w:rPr>
        <w:t xml:space="preserve">Abstract Word Count: </w:t>
      </w:r>
      <w:r w:rsidR="00B95B0C" w:rsidRPr="00B95B0C">
        <w:rPr>
          <w:rFonts w:ascii="Times New Roman" w:hAnsi="Times New Roman" w:cs="Times New Roman"/>
          <w:color w:val="C00000"/>
          <w:sz w:val="21"/>
          <w:szCs w:val="21"/>
        </w:rPr>
        <w:t>242</w:t>
      </w:r>
    </w:p>
    <w:p w14:paraId="1F23E7DD" w14:textId="174EBE26" w:rsidR="00835C45" w:rsidRPr="00864D97" w:rsidRDefault="00835C45" w:rsidP="00835C45">
      <w:pPr>
        <w:spacing w:line="480" w:lineRule="auto"/>
        <w:rPr>
          <w:rFonts w:ascii="Times New Roman" w:hAnsi="Times New Roman" w:cs="Times New Roman"/>
          <w:sz w:val="21"/>
          <w:szCs w:val="21"/>
        </w:rPr>
      </w:pPr>
      <w:r w:rsidRPr="00864D97">
        <w:rPr>
          <w:rFonts w:ascii="Times New Roman" w:hAnsi="Times New Roman" w:cs="Times New Roman"/>
          <w:sz w:val="21"/>
          <w:szCs w:val="21"/>
        </w:rPr>
        <w:t xml:space="preserve">Main Text Word Count: </w:t>
      </w:r>
      <w:r w:rsidR="00F86CCE">
        <w:rPr>
          <w:rFonts w:ascii="Times New Roman" w:hAnsi="Times New Roman" w:cs="Times New Roman"/>
          <w:sz w:val="21"/>
          <w:szCs w:val="21"/>
        </w:rPr>
        <w:t>3041</w:t>
      </w:r>
    </w:p>
    <w:p w14:paraId="3F82BDA9" w14:textId="77777777" w:rsidR="00835C45" w:rsidRPr="00864D97" w:rsidRDefault="00835C45" w:rsidP="00835C45">
      <w:pPr>
        <w:spacing w:line="480" w:lineRule="auto"/>
        <w:rPr>
          <w:rFonts w:ascii="Times New Roman" w:hAnsi="Times New Roman" w:cs="Times New Roman"/>
          <w:sz w:val="21"/>
          <w:szCs w:val="21"/>
        </w:rPr>
      </w:pPr>
      <w:r w:rsidRPr="00864D97">
        <w:rPr>
          <w:rFonts w:ascii="Times New Roman" w:hAnsi="Times New Roman" w:cs="Times New Roman"/>
          <w:sz w:val="21"/>
          <w:szCs w:val="21"/>
        </w:rPr>
        <w:t xml:space="preserve">Tables: </w:t>
      </w:r>
      <w:r>
        <w:rPr>
          <w:rFonts w:ascii="Times New Roman" w:hAnsi="Times New Roman" w:cs="Times New Roman"/>
          <w:sz w:val="21"/>
          <w:szCs w:val="21"/>
        </w:rPr>
        <w:t>2</w:t>
      </w:r>
    </w:p>
    <w:p w14:paraId="15B2D4F6" w14:textId="77777777" w:rsidR="00835C45" w:rsidRPr="00864D97" w:rsidRDefault="00835C45" w:rsidP="00835C45">
      <w:pPr>
        <w:spacing w:line="480" w:lineRule="auto"/>
        <w:rPr>
          <w:rFonts w:ascii="Times New Roman" w:hAnsi="Times New Roman" w:cs="Times New Roman"/>
          <w:sz w:val="21"/>
          <w:szCs w:val="21"/>
        </w:rPr>
      </w:pPr>
      <w:r w:rsidRPr="00864D97">
        <w:rPr>
          <w:rFonts w:ascii="Times New Roman" w:hAnsi="Times New Roman" w:cs="Times New Roman"/>
          <w:sz w:val="21"/>
          <w:szCs w:val="21"/>
        </w:rPr>
        <w:t xml:space="preserve">Figures: </w:t>
      </w:r>
      <w:r>
        <w:rPr>
          <w:rFonts w:ascii="Times New Roman" w:hAnsi="Times New Roman" w:cs="Times New Roman"/>
          <w:sz w:val="21"/>
          <w:szCs w:val="21"/>
        </w:rPr>
        <w:t>2</w:t>
      </w:r>
    </w:p>
    <w:p w14:paraId="08A0AFAC" w14:textId="77777777" w:rsidR="00835C45" w:rsidRDefault="00835C45" w:rsidP="00835C45">
      <w:pPr>
        <w:rPr>
          <w:rFonts w:ascii="Times New Roman" w:hAnsi="Times New Roman" w:cs="Times New Roman"/>
          <w:b/>
          <w:bCs/>
          <w:sz w:val="20"/>
          <w:szCs w:val="20"/>
        </w:rPr>
      </w:pPr>
      <w:r>
        <w:rPr>
          <w:rFonts w:ascii="Times New Roman" w:hAnsi="Times New Roman" w:cs="Times New Roman"/>
          <w:b/>
          <w:bCs/>
          <w:sz w:val="20"/>
          <w:szCs w:val="20"/>
        </w:rPr>
        <w:br w:type="page"/>
      </w:r>
    </w:p>
    <w:p w14:paraId="178005D8" w14:textId="77777777" w:rsidR="00835C45" w:rsidRDefault="00835C45" w:rsidP="00835C45">
      <w:pPr>
        <w:spacing w:line="480" w:lineRule="auto"/>
        <w:rPr>
          <w:rFonts w:ascii="Times New Roman" w:hAnsi="Times New Roman" w:cs="Times New Roman"/>
          <w:b/>
          <w:bCs/>
          <w:sz w:val="20"/>
          <w:szCs w:val="20"/>
        </w:rPr>
      </w:pPr>
      <w:r>
        <w:rPr>
          <w:rFonts w:ascii="Times New Roman" w:hAnsi="Times New Roman" w:cs="Times New Roman"/>
          <w:b/>
          <w:bCs/>
          <w:sz w:val="20"/>
          <w:szCs w:val="20"/>
        </w:rPr>
        <w:lastRenderedPageBreak/>
        <w:t>Abstract</w:t>
      </w:r>
    </w:p>
    <w:p w14:paraId="256CF754" w14:textId="44BFAF8C" w:rsidR="00835C45" w:rsidRDefault="000E49AF" w:rsidP="00835C45">
      <w:pPr>
        <w:spacing w:line="480" w:lineRule="auto"/>
        <w:jc w:val="both"/>
        <w:rPr>
          <w:rFonts w:ascii="Times New Roman" w:hAnsi="Times New Roman" w:cs="Times New Roman"/>
          <w:sz w:val="20"/>
          <w:szCs w:val="20"/>
        </w:rPr>
      </w:pPr>
      <w:r w:rsidRPr="00A2361E">
        <w:rPr>
          <w:rFonts w:ascii="Times New Roman" w:hAnsi="Times New Roman" w:cs="Times New Roman"/>
          <w:color w:val="000000" w:themeColor="text1"/>
          <w:sz w:val="20"/>
          <w:szCs w:val="20"/>
        </w:rPr>
        <w:t>Commonly we</w:t>
      </w:r>
      <w:r w:rsidR="00932478" w:rsidRPr="00A2361E">
        <w:rPr>
          <w:rFonts w:ascii="Times New Roman" w:hAnsi="Times New Roman" w:cs="Times New Roman"/>
          <w:color w:val="000000" w:themeColor="text1"/>
          <w:sz w:val="20"/>
          <w:szCs w:val="20"/>
        </w:rPr>
        <w:t xml:space="preserve"> see large within-age-group variations in </w:t>
      </w:r>
      <w:r w:rsidRPr="00A2361E">
        <w:rPr>
          <w:rFonts w:ascii="Times New Roman" w:hAnsi="Times New Roman" w:cs="Times New Roman"/>
          <w:color w:val="000000" w:themeColor="text1"/>
          <w:sz w:val="20"/>
          <w:szCs w:val="20"/>
        </w:rPr>
        <w:t>physique,</w:t>
      </w:r>
      <w:r w:rsidR="00932478" w:rsidRPr="00A2361E">
        <w:rPr>
          <w:rFonts w:ascii="Times New Roman" w:hAnsi="Times New Roman" w:cs="Times New Roman"/>
          <w:color w:val="000000" w:themeColor="text1"/>
          <w:sz w:val="20"/>
          <w:szCs w:val="20"/>
        </w:rPr>
        <w:t xml:space="preserve"> </w:t>
      </w:r>
      <w:r w:rsidRPr="00A2361E">
        <w:rPr>
          <w:rFonts w:ascii="Times New Roman" w:hAnsi="Times New Roman" w:cs="Times New Roman"/>
          <w:color w:val="000000" w:themeColor="text1"/>
          <w:sz w:val="20"/>
          <w:szCs w:val="20"/>
        </w:rPr>
        <w:t>including</w:t>
      </w:r>
      <w:r w:rsidR="00932478" w:rsidRPr="00A2361E">
        <w:rPr>
          <w:rFonts w:ascii="Times New Roman" w:hAnsi="Times New Roman" w:cs="Times New Roman"/>
          <w:color w:val="000000" w:themeColor="text1"/>
          <w:sz w:val="20"/>
          <w:szCs w:val="20"/>
        </w:rPr>
        <w:t xml:space="preserve"> body mass, </w:t>
      </w:r>
      <w:r w:rsidRPr="00A2361E">
        <w:rPr>
          <w:rFonts w:ascii="Times New Roman" w:hAnsi="Times New Roman" w:cs="Times New Roman"/>
          <w:color w:val="000000" w:themeColor="text1"/>
          <w:sz w:val="20"/>
          <w:szCs w:val="20"/>
        </w:rPr>
        <w:t>stature,</w:t>
      </w:r>
      <w:r w:rsidR="00935039" w:rsidRPr="00A2361E">
        <w:rPr>
          <w:rFonts w:ascii="Times New Roman" w:hAnsi="Times New Roman" w:cs="Times New Roman"/>
          <w:color w:val="000000" w:themeColor="text1"/>
          <w:sz w:val="20"/>
          <w:szCs w:val="20"/>
        </w:rPr>
        <w:t xml:space="preserve"> and </w:t>
      </w:r>
      <w:r w:rsidR="00932478" w:rsidRPr="00A2361E">
        <w:rPr>
          <w:rFonts w:ascii="Times New Roman" w:hAnsi="Times New Roman" w:cs="Times New Roman"/>
          <w:color w:val="000000" w:themeColor="text1"/>
          <w:sz w:val="20"/>
          <w:szCs w:val="20"/>
        </w:rPr>
        <w:t>percentages of predicted adult height</w:t>
      </w:r>
      <w:r w:rsidRPr="00A2361E">
        <w:rPr>
          <w:rFonts w:ascii="Times New Roman" w:hAnsi="Times New Roman" w:cs="Times New Roman"/>
          <w:color w:val="000000" w:themeColor="text1"/>
          <w:sz w:val="20"/>
          <w:szCs w:val="20"/>
        </w:rPr>
        <w:t>, which</w:t>
      </w:r>
      <w:r w:rsidR="00932478" w:rsidRPr="00A2361E">
        <w:rPr>
          <w:rFonts w:ascii="Times New Roman" w:hAnsi="Times New Roman" w:cs="Times New Roman"/>
          <w:color w:val="000000" w:themeColor="text1"/>
          <w:sz w:val="20"/>
          <w:szCs w:val="20"/>
        </w:rPr>
        <w:t xml:space="preserve"> </w:t>
      </w:r>
      <w:r w:rsidR="00935039" w:rsidRPr="00A2361E">
        <w:rPr>
          <w:rFonts w:ascii="Times New Roman" w:hAnsi="Times New Roman" w:cs="Times New Roman"/>
          <w:color w:val="000000" w:themeColor="text1"/>
          <w:sz w:val="20"/>
          <w:szCs w:val="20"/>
        </w:rPr>
        <w:t>suggest</w:t>
      </w:r>
      <w:r w:rsidRPr="00A2361E">
        <w:rPr>
          <w:rFonts w:ascii="Times New Roman" w:hAnsi="Times New Roman" w:cs="Times New Roman"/>
          <w:color w:val="000000" w:themeColor="text1"/>
          <w:sz w:val="20"/>
          <w:szCs w:val="20"/>
        </w:rPr>
        <w:t>s</w:t>
      </w:r>
      <w:r w:rsidR="00932478" w:rsidRPr="00A2361E">
        <w:rPr>
          <w:rFonts w:ascii="Times New Roman" w:hAnsi="Times New Roman" w:cs="Times New Roman"/>
          <w:color w:val="000000" w:themeColor="text1"/>
          <w:sz w:val="20"/>
          <w:szCs w:val="20"/>
        </w:rPr>
        <w:t xml:space="preserve"> that age-specified training loads are flawed. </w:t>
      </w:r>
      <w:r w:rsidR="00935039" w:rsidRPr="00A2361E">
        <w:rPr>
          <w:rFonts w:ascii="Times New Roman" w:hAnsi="Times New Roman" w:cs="Times New Roman"/>
          <w:color w:val="000000" w:themeColor="text1"/>
          <w:sz w:val="20"/>
          <w:szCs w:val="20"/>
        </w:rPr>
        <w:t>A</w:t>
      </w:r>
      <w:r w:rsidR="00835C45" w:rsidRPr="00A2361E">
        <w:rPr>
          <w:rFonts w:ascii="Times New Roman" w:hAnsi="Times New Roman" w:cs="Times New Roman"/>
          <w:color w:val="000000" w:themeColor="text1"/>
          <w:sz w:val="20"/>
          <w:szCs w:val="20"/>
        </w:rPr>
        <w:t xml:space="preserve">ims were to investigate how </w:t>
      </w:r>
      <w:r w:rsidR="00B95B0C" w:rsidRPr="00A2361E">
        <w:rPr>
          <w:rFonts w:ascii="Times New Roman" w:hAnsi="Times New Roman" w:cs="Times New Roman"/>
          <w:color w:val="000000" w:themeColor="text1"/>
          <w:sz w:val="20"/>
          <w:szCs w:val="20"/>
        </w:rPr>
        <w:t>maturation</w:t>
      </w:r>
      <w:r w:rsidR="00835C45" w:rsidRPr="00A2361E">
        <w:rPr>
          <w:rFonts w:ascii="Times New Roman" w:hAnsi="Times New Roman" w:cs="Times New Roman"/>
          <w:color w:val="000000" w:themeColor="text1"/>
          <w:sz w:val="20"/>
          <w:szCs w:val="20"/>
        </w:rPr>
        <w:t xml:space="preserve"> impacts training load and neuromuscular response within </w:t>
      </w:r>
      <w:r w:rsidR="0008264B" w:rsidRPr="00A2361E">
        <w:rPr>
          <w:rFonts w:ascii="Times New Roman" w:hAnsi="Times New Roman" w:cs="Times New Roman"/>
          <w:color w:val="000000" w:themeColor="text1"/>
          <w:sz w:val="20"/>
          <w:szCs w:val="20"/>
        </w:rPr>
        <w:t>academy soccer</w:t>
      </w:r>
      <w:r w:rsidR="00835C45" w:rsidRPr="00A2361E">
        <w:rPr>
          <w:rFonts w:ascii="Times New Roman" w:hAnsi="Times New Roman" w:cs="Times New Roman"/>
          <w:color w:val="000000" w:themeColor="text1"/>
          <w:sz w:val="20"/>
          <w:szCs w:val="20"/>
        </w:rPr>
        <w:t xml:space="preserve"> and, to provide recommendations for practitioners. Fifty-five male soccer players (age 14.5 ± 1.2 years; stature 172 ± 10 cm; body mass 59.8 ± 10 kg; 94.1 ± 1.8 % predicted adult height) reported </w:t>
      </w:r>
      <w:r w:rsidR="0008264B" w:rsidRPr="00A2361E">
        <w:rPr>
          <w:rFonts w:ascii="Times New Roman" w:hAnsi="Times New Roman" w:cs="Times New Roman"/>
          <w:color w:val="000000" w:themeColor="text1"/>
          <w:sz w:val="20"/>
          <w:szCs w:val="20"/>
        </w:rPr>
        <w:t xml:space="preserve">differential </w:t>
      </w:r>
      <w:r w:rsidR="00835C45" w:rsidRPr="00A2361E">
        <w:rPr>
          <w:rFonts w:ascii="Times New Roman" w:hAnsi="Times New Roman" w:cs="Times New Roman"/>
          <w:color w:val="000000" w:themeColor="text1"/>
          <w:sz w:val="20"/>
          <w:szCs w:val="20"/>
        </w:rPr>
        <w:t>ratings of perce</w:t>
      </w:r>
      <w:r w:rsidR="0008264B" w:rsidRPr="00A2361E">
        <w:rPr>
          <w:rFonts w:ascii="Times New Roman" w:hAnsi="Times New Roman" w:cs="Times New Roman"/>
          <w:color w:val="000000" w:themeColor="text1"/>
          <w:sz w:val="20"/>
          <w:szCs w:val="20"/>
        </w:rPr>
        <w:t>ived</w:t>
      </w:r>
      <w:r w:rsidR="00835C45" w:rsidRPr="00A2361E">
        <w:rPr>
          <w:rFonts w:ascii="Times New Roman" w:hAnsi="Times New Roman" w:cs="Times New Roman"/>
          <w:color w:val="000000" w:themeColor="text1"/>
          <w:sz w:val="20"/>
          <w:szCs w:val="20"/>
        </w:rPr>
        <w:t xml:space="preserve"> exertion (AU) across a season. Neuromuscular performance </w:t>
      </w:r>
      <w:r w:rsidR="00932478" w:rsidRPr="00A2361E">
        <w:rPr>
          <w:rFonts w:ascii="Times New Roman" w:hAnsi="Times New Roman" w:cs="Times New Roman"/>
          <w:color w:val="000000" w:themeColor="text1"/>
          <w:sz w:val="20"/>
          <w:szCs w:val="20"/>
        </w:rPr>
        <w:t xml:space="preserve">(countermovement jump, reactive strength index, absolute and relative leg stiffness) </w:t>
      </w:r>
      <w:r w:rsidR="00835C45" w:rsidRPr="00A2361E">
        <w:rPr>
          <w:rFonts w:ascii="Times New Roman" w:hAnsi="Times New Roman" w:cs="Times New Roman"/>
          <w:color w:val="000000" w:themeColor="text1"/>
          <w:sz w:val="20"/>
          <w:szCs w:val="20"/>
        </w:rPr>
        <w:t>was measured using at</w:t>
      </w:r>
      <w:r w:rsidR="00935039" w:rsidRPr="00A2361E">
        <w:rPr>
          <w:rFonts w:ascii="Times New Roman" w:hAnsi="Times New Roman" w:cs="Times New Roman"/>
          <w:color w:val="000000" w:themeColor="text1"/>
          <w:sz w:val="20"/>
          <w:szCs w:val="20"/>
        </w:rPr>
        <w:t xml:space="preserve"> </w:t>
      </w:r>
      <w:r w:rsidR="00835C45" w:rsidRPr="00A2361E">
        <w:rPr>
          <w:rFonts w:ascii="Times New Roman" w:hAnsi="Times New Roman" w:cs="Times New Roman"/>
          <w:color w:val="000000" w:themeColor="text1"/>
          <w:sz w:val="20"/>
          <w:szCs w:val="20"/>
        </w:rPr>
        <w:t>three timepoints</w:t>
      </w:r>
      <w:r w:rsidR="00932478" w:rsidRPr="00A2361E">
        <w:rPr>
          <w:rFonts w:ascii="Times New Roman" w:hAnsi="Times New Roman" w:cs="Times New Roman"/>
          <w:color w:val="000000" w:themeColor="text1"/>
          <w:sz w:val="20"/>
          <w:szCs w:val="20"/>
        </w:rPr>
        <w:t xml:space="preserve"> across the season</w:t>
      </w:r>
      <w:r w:rsidR="00835C45" w:rsidRPr="00A2361E">
        <w:rPr>
          <w:rFonts w:ascii="Times New Roman" w:hAnsi="Times New Roman" w:cs="Times New Roman"/>
          <w:color w:val="000000" w:themeColor="text1"/>
          <w:sz w:val="20"/>
          <w:szCs w:val="20"/>
        </w:rPr>
        <w:t>. Perceived exertion and neuromuscular performance were examined using linear mixed modelling, supplemented with non-clinical magnitude-based decisions. Analysis indicate</w:t>
      </w:r>
      <w:r w:rsidR="00932478" w:rsidRPr="00A2361E">
        <w:rPr>
          <w:rFonts w:ascii="Times New Roman" w:hAnsi="Times New Roman" w:cs="Times New Roman"/>
          <w:color w:val="000000" w:themeColor="text1"/>
          <w:sz w:val="20"/>
          <w:szCs w:val="20"/>
        </w:rPr>
        <w:t>s</w:t>
      </w:r>
      <w:r w:rsidR="00835C45" w:rsidRPr="00A2361E">
        <w:rPr>
          <w:rFonts w:ascii="Times New Roman" w:hAnsi="Times New Roman" w:cs="Times New Roman"/>
          <w:color w:val="000000" w:themeColor="text1"/>
          <w:sz w:val="20"/>
          <w:szCs w:val="20"/>
        </w:rPr>
        <w:t xml:space="preserve"> every 5% increase in maturity status results in players </w:t>
      </w:r>
      <w:r w:rsidR="00932478" w:rsidRPr="00A2361E">
        <w:rPr>
          <w:rFonts w:ascii="Times New Roman" w:hAnsi="Times New Roman" w:cs="Times New Roman"/>
          <w:color w:val="000000" w:themeColor="text1"/>
          <w:sz w:val="20"/>
          <w:szCs w:val="20"/>
        </w:rPr>
        <w:t>perceiving</w:t>
      </w:r>
      <w:r w:rsidR="00835C45" w:rsidRPr="00A2361E">
        <w:rPr>
          <w:rFonts w:ascii="Times New Roman" w:hAnsi="Times New Roman" w:cs="Times New Roman"/>
          <w:color w:val="000000" w:themeColor="text1"/>
          <w:sz w:val="20"/>
          <w:szCs w:val="20"/>
        </w:rPr>
        <w:t xml:space="preserve"> overall session intensity 6.9 AU </w:t>
      </w:r>
      <w:r w:rsidR="00932478" w:rsidRPr="00A2361E">
        <w:rPr>
          <w:rFonts w:ascii="Times New Roman" w:hAnsi="Times New Roman" w:cs="Times New Roman"/>
          <w:color w:val="000000" w:themeColor="text1"/>
          <w:sz w:val="20"/>
          <w:szCs w:val="20"/>
        </w:rPr>
        <w:t xml:space="preserve">lower and 13.9 AU lower for a 10% maturity shift. Both 5% and 10% changes in maturity most likely resulted in higher </w:t>
      </w:r>
      <w:r w:rsidR="00935039" w:rsidRPr="00A2361E">
        <w:rPr>
          <w:rFonts w:ascii="Times New Roman" w:hAnsi="Times New Roman" w:cs="Times New Roman"/>
          <w:color w:val="000000" w:themeColor="text1"/>
          <w:sz w:val="20"/>
          <w:szCs w:val="20"/>
        </w:rPr>
        <w:t>countermovement jump</w:t>
      </w:r>
      <w:r w:rsidR="00932478" w:rsidRPr="00A2361E">
        <w:rPr>
          <w:rFonts w:ascii="Times New Roman" w:hAnsi="Times New Roman" w:cs="Times New Roman"/>
          <w:color w:val="000000" w:themeColor="text1"/>
          <w:sz w:val="20"/>
          <w:szCs w:val="20"/>
        </w:rPr>
        <w:t xml:space="preserve">, with likely to very likely differences observed for RSI and ABS. </w:t>
      </w:r>
      <w:r w:rsidR="00935039">
        <w:rPr>
          <w:rFonts w:ascii="Times New Roman" w:hAnsi="Times New Roman" w:cs="Times New Roman"/>
          <w:sz w:val="20"/>
          <w:szCs w:val="20"/>
        </w:rPr>
        <w:t>M</w:t>
      </w:r>
      <w:r w:rsidR="00835C45">
        <w:rPr>
          <w:rFonts w:ascii="Times New Roman" w:hAnsi="Times New Roman" w:cs="Times New Roman"/>
          <w:sz w:val="20"/>
          <w:szCs w:val="20"/>
        </w:rPr>
        <w:t xml:space="preserve">aturity substantially influences neuromuscular performance over the season. </w:t>
      </w:r>
      <w:r w:rsidR="0008264B">
        <w:rPr>
          <w:rFonts w:ascii="Times New Roman" w:hAnsi="Times New Roman" w:cs="Times New Roman"/>
          <w:sz w:val="20"/>
          <w:szCs w:val="20"/>
        </w:rPr>
        <w:t>Therefore,</w:t>
      </w:r>
      <w:r w:rsidR="00835C45">
        <w:rPr>
          <w:rFonts w:ascii="Times New Roman" w:hAnsi="Times New Roman" w:cs="Times New Roman"/>
          <w:sz w:val="20"/>
          <w:szCs w:val="20"/>
        </w:rPr>
        <w:t xml:space="preserve"> maturity-specific load prescription may prevent significant within age-group differences in accumulated load, possibly reducing injury risk and/or burnout.</w:t>
      </w:r>
    </w:p>
    <w:p w14:paraId="60590C68" w14:textId="77777777" w:rsidR="00835C45" w:rsidRDefault="00835C45" w:rsidP="00835C45">
      <w:pPr>
        <w:spacing w:line="480" w:lineRule="auto"/>
        <w:jc w:val="both"/>
        <w:rPr>
          <w:rFonts w:ascii="Times New Roman" w:hAnsi="Times New Roman" w:cs="Times New Roman"/>
          <w:sz w:val="20"/>
          <w:szCs w:val="20"/>
        </w:rPr>
      </w:pPr>
    </w:p>
    <w:p w14:paraId="533DE924" w14:textId="77777777" w:rsidR="00835C45" w:rsidRPr="007C054E" w:rsidRDefault="00835C45" w:rsidP="00835C45">
      <w:pPr>
        <w:spacing w:line="480" w:lineRule="auto"/>
        <w:rPr>
          <w:rFonts w:ascii="Times New Roman" w:hAnsi="Times New Roman" w:cs="Times New Roman"/>
          <w:i/>
          <w:iCs/>
          <w:sz w:val="20"/>
          <w:szCs w:val="20"/>
        </w:rPr>
      </w:pPr>
      <w:r w:rsidRPr="007C054E">
        <w:rPr>
          <w:rFonts w:ascii="Times New Roman" w:hAnsi="Times New Roman" w:cs="Times New Roman"/>
          <w:b/>
          <w:bCs/>
          <w:i/>
          <w:iCs/>
          <w:sz w:val="20"/>
          <w:szCs w:val="20"/>
        </w:rPr>
        <w:t>Keywords:</w:t>
      </w:r>
      <w:r w:rsidRPr="007C054E">
        <w:rPr>
          <w:rFonts w:ascii="Times New Roman" w:hAnsi="Times New Roman" w:cs="Times New Roman"/>
          <w:i/>
          <w:iCs/>
          <w:sz w:val="20"/>
          <w:szCs w:val="20"/>
        </w:rPr>
        <w:t xml:space="preserve"> adolescen</w:t>
      </w:r>
      <w:r>
        <w:rPr>
          <w:rFonts w:ascii="Times New Roman" w:hAnsi="Times New Roman" w:cs="Times New Roman"/>
          <w:i/>
          <w:iCs/>
          <w:sz w:val="20"/>
          <w:szCs w:val="20"/>
        </w:rPr>
        <w:t>ce</w:t>
      </w:r>
      <w:r w:rsidRPr="007C054E">
        <w:rPr>
          <w:rFonts w:ascii="Times New Roman" w:hAnsi="Times New Roman" w:cs="Times New Roman"/>
          <w:i/>
          <w:iCs/>
          <w:sz w:val="20"/>
          <w:szCs w:val="20"/>
        </w:rPr>
        <w:t>, maturation, training load, injury, neuromuscular performance</w:t>
      </w:r>
    </w:p>
    <w:p w14:paraId="0925F17C" w14:textId="77777777" w:rsidR="00835C45" w:rsidRDefault="00835C45" w:rsidP="00835C45">
      <w:pPr>
        <w:rPr>
          <w:rFonts w:ascii="Times New Roman" w:hAnsi="Times New Roman" w:cs="Times New Roman"/>
          <w:b/>
          <w:bCs/>
          <w:sz w:val="20"/>
          <w:szCs w:val="20"/>
        </w:rPr>
      </w:pPr>
      <w:r>
        <w:rPr>
          <w:rFonts w:ascii="Times New Roman" w:hAnsi="Times New Roman" w:cs="Times New Roman"/>
          <w:b/>
          <w:bCs/>
          <w:sz w:val="20"/>
          <w:szCs w:val="20"/>
        </w:rPr>
        <w:br w:type="page"/>
      </w:r>
    </w:p>
    <w:p w14:paraId="0FADC8A3" w14:textId="77777777" w:rsidR="00835C45" w:rsidRDefault="00835C45" w:rsidP="00835C45">
      <w:pPr>
        <w:spacing w:line="480" w:lineRule="auto"/>
        <w:rPr>
          <w:rFonts w:ascii="Times New Roman" w:hAnsi="Times New Roman" w:cs="Times New Roman"/>
          <w:b/>
          <w:bCs/>
          <w:sz w:val="20"/>
          <w:szCs w:val="20"/>
        </w:rPr>
      </w:pPr>
      <w:r w:rsidRPr="00F22FDF">
        <w:rPr>
          <w:rFonts w:ascii="Times New Roman" w:hAnsi="Times New Roman" w:cs="Times New Roman"/>
          <w:b/>
          <w:bCs/>
          <w:sz w:val="20"/>
          <w:szCs w:val="20"/>
        </w:rPr>
        <w:lastRenderedPageBreak/>
        <w:t>Introduction</w:t>
      </w:r>
    </w:p>
    <w:p w14:paraId="18F6DD99" w14:textId="008C6CBA" w:rsidR="00835C45"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Although injury is multifactorial, it is now accepted that with adequate training load management, practitioners can mitigate injury risk to an extent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{"citationID":"YQix9WxK","properties":{"formattedCitation":"(Impellizzeri et al., 2019; Williams et al., 2017)","plainCitation":"(Impellizzeri et al., 2019; Williams et al., 2017)","noteIndex":0},"citationItems":[{"id":551,"uris":["http://zotero.org/users/6352108/items/YAUURIR7"],"itemData":{"id":551,"type":"article-journal","abstract":"Exercise is a stressor that induces various psychophysiological responses, which mediate cellular adaptations in many organ systems. To maximize this adaptive response, coaches and scientists need to control the stress applied to the athlete at the individual level. To achieve this, precise control and manipulation of the training load are required. In 2003, the authors introduced a theoretical framework to deﬁne and conceptualize the measurable constructs of the training process. They described training load as having 2 measurable components: internal and external load. The aim of this commentary is to extend, clarify, and reﬁne both the theoretical framework and the deﬁnitions of internal and external training load to avoid misinterpretation of this concept.","container-title":"International Journal of Sports Physiology and Performance","DOI":"10.1123/ijspp.2018-0935","ISSN":"1555-0265, 1555-0273","issue":"2","journalAbbreviation":"International Journal of Sports Physiology and Performance","language":"en","page":"270-273","source":"DOI.org (Crossref)","title":"Internal and External Training Load: 15 Years On","title-short":"Internal and External Training Load","volume":"14","author":[{"family":"Impellizzeri","given":"Franco M."},{"family":"Marcora","given":"Samuele M."},{"family":"Coutts","given":"Aaron J."}],"issued":{"date-parts":[["2019",2]]}}},{"id":199,"uris":["http://zotero.org/users/6352108/items/PZ9TTZ5V"],"itemData":{"id":199,"type":"article-journal","abstract":"Purpose: The purpose of this study was to examine the prevalence of non-functional overreaching (NFOR) and overtraining (OT) in elite male and female youth football players.\nMethods: Two-hundred and forty-two youth football players (n = 138 boys and n = 104 girls) aged between 12 and 17 years completed a questionnaire to identify the occurrence of NFOR/OT and associated symptoms.\nResults: No players experienced OT. Significant sex differences for NFOR were found between girls 9% compared to boys 27% (P &lt; 0.05). For players that experienced NFOR, 33% of girls and 60% of boys experienced multiple bouts. Compared to girls, boys completed higher volumes of football training (16.3 ± 4.5 versus 12.7 ± 5.7 h per week, P &lt; 0.05), but training load was not a significant predictor of NFOR for either sex. In both sexes, NFOR was associated with tiredness, a lack of appetite, sore or heavy muscles, feeling in a bad mood, and feeling apathetic.\nConclusion: Male and female elite youth football players engaged in high training volumes and experienced similar NFOR symptoms. However, there is a much higher prevalence of NFOR in boys and in those who have suffered previous bouts of NFOR.","container-title":"Science and Medicine in Football","DOI":"10.1080/24733938.2017.1336282","ISSN":"2473-3938, 2473-4446","issue":"3","journalAbbreviation":"Science and Medicine in Football","language":"en","page":"222-228","source":"DOI.org (Crossref)","title":"Prevalence of non-functional overreaching in elite male and female youth academy football players","volume":"1","author":[{"family":"Williams","given":"Craig"},{"family":"Winsley","given":"Richard J."},{"family":"Pinho","given":"Goncalo"},{"family":"De Ste Croix","given":"Mark B.A."},{"family":"Lloyd","given":"Rhodri S."},{"family":"Oliver","given":"Jon L."}],"issued":{"date-parts":[["2017",9,2]]}}}],"schema":"https://github.com/citation-style-language/schema/raw/master/csl-citation.json"}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(Impellizzeri et al., 2019; Williams et al., 2017)</w:t>
      </w:r>
      <w:r>
        <w:rPr>
          <w:rFonts w:ascii="Times New Roman" w:hAnsi="Times New Roman" w:cs="Times New Roman"/>
          <w:sz w:val="20"/>
          <w:szCs w:val="20"/>
        </w:rPr>
        <w:fldChar w:fldCharType="end"/>
      </w:r>
      <w:r>
        <w:rPr>
          <w:rFonts w:ascii="Times New Roman" w:hAnsi="Times New Roman" w:cs="Times New Roman"/>
          <w:sz w:val="20"/>
          <w:szCs w:val="20"/>
        </w:rPr>
        <w:t xml:space="preserve">. Obtaining the optimal dose-response balance is a complicated, multi-faceted but entirely possible priority within elite sport through proactive prescription and effective </w:t>
      </w:r>
      <w:r w:rsidRPr="00A2361E">
        <w:rPr>
          <w:rFonts w:ascii="Times New Roman" w:hAnsi="Times New Roman" w:cs="Times New Roman"/>
          <w:color w:val="000000" w:themeColor="text1"/>
          <w:sz w:val="20"/>
          <w:szCs w:val="20"/>
        </w:rPr>
        <w:t>recovery</w:t>
      </w:r>
      <w:r w:rsidR="00932478" w:rsidRPr="00A2361E">
        <w:rPr>
          <w:rFonts w:ascii="Times New Roman" w:hAnsi="Times New Roman" w:cs="Times New Roman"/>
          <w:color w:val="000000" w:themeColor="text1"/>
          <w:sz w:val="20"/>
          <w:szCs w:val="20"/>
        </w:rPr>
        <w:t xml:space="preserve"> suited to the individual needs to the athlete</w:t>
      </w:r>
      <w:r w:rsidRPr="00A2361E">
        <w:rPr>
          <w:rFonts w:ascii="Times New Roman" w:hAnsi="Times New Roman" w:cs="Times New Roman"/>
          <w:color w:val="000000" w:themeColor="text1"/>
          <w:sz w:val="20"/>
          <w:szCs w:val="20"/>
        </w:rPr>
        <w:t>. This</w:t>
      </w:r>
      <w:r>
        <w:rPr>
          <w:rFonts w:ascii="Times New Roman" w:hAnsi="Times New Roman" w:cs="Times New Roman"/>
          <w:sz w:val="20"/>
          <w:szCs w:val="20"/>
        </w:rPr>
        <w:t xml:space="preserve">, often data-informed process, combines measures of internal and external load to advise coaching and support staff on micro-cycle development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{"citationID":"6WfBQbIO","properties":{"formattedCitation":"(Impellizzeri et al., 2019)","plainCitation":"(Impellizzeri et al., 2019)","noteIndex":0},"citationItems":[{"id":551,"uris":["http://zotero.org/users/6352108/items/YAUURIR7"],"itemData":{"id":551,"type":"article-journal","abstract":"Exercise is a stressor that induces various psychophysiological responses, which mediate cellular adaptations in many organ systems. To maximize this adaptive response, coaches and scientists need to control the stress applied to the athlete at the individual level. To achieve this, precise control and manipulation of the training load are required. In 2003, the authors introduced a theoretical framework to deﬁne and conceptualize the measurable constructs of the training process. They described training load as having 2 measurable components: internal and external load. The aim of this commentary is to extend, clarify, and reﬁne both the theoretical framework and the deﬁnitions of internal and external training load to avoid misinterpretation of this concept.","container-title":"International Journal of Sports Physiology and Performance","DOI":"10.1123/ijspp.2018-0935","ISSN":"1555-0265, 1555-0273","issue":"2","journalAbbreviation":"International Journal of Sports Physiology and Performance","language":"en","page":"270-273","source":"DOI.org (Crossref)","title":"Internal and External Training Load: 15 Years On","title-short":"Internal and External Training Load","volume":"14","author":[{"family":"Impellizzeri","given":"Franco M."},{"family":"Marcora","given":"Samuele M."},{"family":"Coutts","given":"Aaron J."}],"issued":{"date-parts":[["2019",2]]}}}],"schema":"https://github.com/citation-style-language/schema/raw/master/csl-citation.json"}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(Impellizzeri et al., 2019)</w:t>
      </w:r>
      <w:r>
        <w:rPr>
          <w:rFonts w:ascii="Times New Roman" w:hAnsi="Times New Roman" w:cs="Times New Roman"/>
          <w:sz w:val="20"/>
          <w:szCs w:val="20"/>
        </w:rPr>
        <w:fldChar w:fldCharType="end"/>
      </w:r>
      <w:r>
        <w:rPr>
          <w:rFonts w:ascii="Times New Roman" w:hAnsi="Times New Roman" w:cs="Times New Roman"/>
          <w:sz w:val="20"/>
          <w:szCs w:val="20"/>
        </w:rPr>
        <w:t xml:space="preserve">. This depth of data is rarely afforded coaching and support staff working with adolescent athletes, who often have training loads from academy training superimposed onto other physical exertions from school and recreational settings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{"citationID":"rxyqMj0b","properties":{"formattedCitation":"(Phibbs et al., 2018)","plainCitation":"(Phibbs et al., 2018)","noteIndex":0},"citationItems":[{"id":666,"uris":["http://zotero.org/users/6352108/items/SUA55GQM"],"itemData":{"id":666,"type":"article-journal","abstract":"The aims of this study were to determine the variability of weekly match and training loads in adolescent rugby union players across a competitive season, and to investigate the effect of match frequency on load distribution across different activities. Internal match and training load data (i.e. session-rating of perceived exertion (sRPE)) were collected daily from 20 players from a regional academy across a 14-week season. Data were analysed using a mixed-effects linear model, and variability was reported as a coefficient of variation (CV). Differences between 0-, 1-, 2-, and 3-match weeks were assessed using Cohen’s d effect sizes and magnitude-based inferences. Mean weekly total match and training sRPE load was 1425 ± 545 arbitrary units (AU), with a between-player CV of 10 ± 6% and within-player CV of 37 ± 3%. Mean week-to-week change in total sRPE load was 497 ± 423 AU (35%), and 40% of weekly observations were outside the suggested acute: chronic workload ratio ‘safe zone’. Total weekly sRPE loads increased substantially with match frequency (1210 ± 571, 1511 ± 489, and 1692 ± 517 AU, for 0-, 1-, and 2-match weeks, respectively), except for 3-match weeks (1520 ± 442 AU). Weekly match and training loads were highly variable for adolescent rugby players during the competitive season, and match frequency has a substantial effect on the distribution of loads. Therefore, match and training loads should be coordinated, monitored, and managed on an individual basis to protect players from negative training consequences, and to promote long-term athlete development.","container-title":"European Journal of Sport Science","DOI":"10.1080/17461391.2017.1418026","ISSN":"1746-1391, 1536-7290","issue":"3","journalAbbreviation":"European Journal of Sport Science","language":"en","page":"341-348","source":"DOI.org (Crossref)","title":"The organised chaos of English adolescent rugby union: Influence of weekly match frequency on the variability of match and training loads","title-short":"The organised chaos of English adolescent rugby union","volume":"18","author":[{"family":"Phibbs","given":"Padraic J."},{"family":"Jones","given":"Ben"},{"family":"Roe","given":"Gregory"},{"family":"Read","given":"Dale"},{"family":"Darrall-Jones","given":"Joshua"},{"family":"Weakley","given":"Jonathon"},{"family":"Rock","given":"Andrew"},{"family":"Till","given":"Kevin"}],"issued":{"date-parts":[["2018",3,16]]}}}],"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(Phibbs et al., 2018)</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519FFBE4" w14:textId="77777777" w:rsidR="00835C45" w:rsidRDefault="00835C45" w:rsidP="00835C45">
      <w:pPr>
        <w:spacing w:line="480" w:lineRule="auto"/>
        <w:jc w:val="both"/>
        <w:rPr>
          <w:rFonts w:ascii="Times New Roman" w:hAnsi="Times New Roman" w:cs="Times New Roman"/>
          <w:sz w:val="20"/>
          <w:szCs w:val="20"/>
        </w:rPr>
      </w:pPr>
    </w:p>
    <w:p w14:paraId="018F3458" w14:textId="257C1EE9" w:rsidR="00835C45"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The Elite Player Performance Plan (EPPP) provides recommendations on the quantity of coaching hours that players are exposed to, which systematically increases with age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{"citationID":"Pr3vNJY3","properties":{"formattedCitation":"(Premier League, 2011)","plainCitation":"(Premier League, 2011)","noteIndex":0},"citationItems":[{"id":1214,"uris":["http://zotero.org/users/6352108/items/3ISHQ7J6"],"itemData":{"id":1214,"type":"document","publisher":"English Premier League","title":"The Elite Player Performance Plan","author":[{"family":"Premier League","given":""}],"issued":{"date-parts":[["2011"]]}}}],"schema":"https://github.com/citation-style-language/schema/raw/master/csl-citation.json"}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(Premier League, 2011)</w:t>
      </w:r>
      <w:r>
        <w:rPr>
          <w:rFonts w:ascii="Times New Roman" w:hAnsi="Times New Roman" w:cs="Times New Roman"/>
          <w:sz w:val="20"/>
          <w:szCs w:val="20"/>
        </w:rPr>
        <w:fldChar w:fldCharType="end"/>
      </w:r>
      <w:r>
        <w:rPr>
          <w:rFonts w:ascii="Times New Roman" w:hAnsi="Times New Roman" w:cs="Times New Roman"/>
          <w:sz w:val="20"/>
          <w:szCs w:val="20"/>
        </w:rPr>
        <w:t xml:space="preserve">. Therefore, it is the responsibility of each academy to navigate within these guidelines and strive for optimal training load balance for its players to achieve long-term success. Although there is some understanding of workloads in adolescent soccer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{"citationID":"a12i5hf7kfr","properties":{"formattedCitation":"(Arazi et al., 2020; Wrigley et al., 2012)","plainCitation":"(Arazi et al., 2020; Wrigley et al., 2012)","noteIndex":0},"citationItems":[{"id":1138,"uris":["http://zotero.org/users/6352108/items/GIZGPH5B"],"itemData":{"id":1138,"type":"article-journal","abstract":"This study aimed to investigate the relationship between the acute to chronic workload ratio (ACWR), based upon participant session rating of perceived exertion (sRPE), using 2 models (1. rolling averages [ACWRRA]; 2. exponentially weighted moving averages [ACWREWMA]) and the injury rate in young male team soccer players aged 17.1±0.7 years during a competitive mesocycle. Twenty-two players were enrolled in this study and performed 4 training sessions per week with 2 days of recovery and 1 match day per week. During each training session and each weekly match, training time and sRPE were recorded. In addition, training impulse (TRIMP), monotony and strain were subsequently calculated. The rate of injury was recorded for each soccer player over a period of 4 weeks (i.e., 28 days) using a daily questionnaire. The results showed that over the course of the study, the number of non-contact injuries was significantly higher than that for contact injuries (2.5 vs. 0.5, p=0.01). There were also significant positive correlations between sRPE and training time (r = 0.411, p = 0.039), ACWRRA (r = 0.47, p = 0.049), and ACWREWMA (r = 0.51, p = 0.038). In addition, small-to-medium correlations were detected between ACWR and non-contact injury occurrence (ACWRRA, r = 0.31, p = 0.05; ACWREWMA, r = 0.53, p = 0.03). Explained variance (r2) for non-contact injury was significantly greater using the ACWREWMA model (ranging between 21-52%) compared with ACWRRA (ranging between 17-39%). In conclusion, the results of this study showed that the ACWREWMA model is more sensitive than ACWRRA to identify non-contact injury occurrence in male team soccer players during a short period in the competitive season.","container-title":"Frontiers in Physiology","DOI":"10.3389/fphys.2020.00608","ISSN":"1664-042X","journalAbbreviation":"Front. Physiol.","language":"English","note":"publisher: Frontiers","source":"Frontiers","title":"Association Between the Acute to Chronic Workload Ratio and Injury Occurrence in Young Male Team Soccer Players: A Preliminary Study","title-short":"Association Between the Acute to Chronic Workload Ratio and Injury Occurrence in Young Male Team Soccer Players","URL":"https://www.frontiersin.org/articles/10.3389/fphys.2020.00608/full","volume":"11","author":[{"family":"Arazi","given":"Hamid"},{"family":"Asadi","given":"Abbas"},{"family":"Khalkhali","given":"Farhood"},{"family":"Boullosa","given":"Daniel"},{"family":"Hackney","given":"Anthony C."},{"family":"Granacher","given":"Urs"},{"family":"Zouhal","given":"Hassane"}],"accessed":{"date-parts":[["2020",6,24]]},"issued":{"date-parts":[["2020"]]}}},{"id":508,"uris":["http://zotero.org/users/6352108/items/G7ZDSHVK"],"itemData":{"id":508,"type":"article-journal","abstract":"We examined the typical weekly training load experienced by elite junior soccer players during the in-season competitive period. Altogether, eight under-14 (U14), eight under-16 (U16) and eight under-18 (U18) players were monitored over a 2week period during the ﬁrst month of the 2010–11 competitive season. This time period included one competitive match per week. Physiological loading was monitored using heart rate (HR) and ratings of perceived exertion (RPE). Training and match loads were calculated by multiplying the global session RPE and duration (session-RPE). Total weekly training load (training and match) increased with age (U14, 2524 + 128 arbitrary units [AU]; U16, 2919 + 136 AU; U18, 3948 + 222 AU; P 5 0.05). Differences in the daily training load across the training week were also evident in the older age group relative to both U14 and U16. The amount of time engaged in low (550% HRmax) and high (490% HRmax) intensity activity during training and match-play was signiﬁcantly lower and higher respectively in the U18 compared to the U14 group (P 5 0.05). When comparing activity, the intensity (% HRmax) of ﬁeld training (U18, 69 + 2%; U16, 74 + 1%; U14, 74 + 2%) was signiﬁcantly lower compared to match-play (U18, 81 + 3%; U16, 84, + 2%; U14, 83 + 2) across all age groups (P 5 0.05). Findings demonstrate that age related differences in the volume and intensity of weekly in-season training load are evident amongst elite professional junior soccer players. These differences may reﬂect a systematic approach to the long-term physical development of elite junior players.","container-title":"Journal of Sports Sciences","DOI":"10.1080/02640414.2012.709265","ISSN":"0264-0414, 1466-447X","issue":"15","journalAbbreviation":"Journal of Sports Sciences","language":"en","page":"1573-1580","source":"DOI.org (Crossref)","title":"Quantification of the typical weekly in-season training load in elite junior soccer players","volume":"30","author":[{"family":"Wrigley","given":"Russell"},{"family":"Drust","given":"Barry"},{"family":"Stratton","given":"Gareth"},{"family":"Scott","given":"Mark"},{"family":"Gregson","given":"Warren"}],"issued":{"date-parts":[["2012",11]]}}}],"schema":"https://github.com/citation-style-language/schema/raw/master/csl-citation.json"} </w:instrText>
      </w:r>
      <w:r>
        <w:rPr>
          <w:rFonts w:ascii="Times New Roman" w:hAnsi="Times New Roman" w:cs="Times New Roman"/>
          <w:sz w:val="20"/>
          <w:szCs w:val="20"/>
        </w:rPr>
        <w:fldChar w:fldCharType="separate"/>
      </w:r>
      <w:r w:rsidR="00983E02" w:rsidRPr="00983E02">
        <w:rPr>
          <w:rFonts w:ascii="Times New Roman" w:hAnsi="Times New Roman" w:cs="Times New Roman"/>
          <w:sz w:val="20"/>
        </w:rPr>
        <w:t>(Arazi et al., 2020; Wrigley et al., 2012)</w:t>
      </w:r>
      <w:r>
        <w:rPr>
          <w:rFonts w:ascii="Times New Roman" w:hAnsi="Times New Roman" w:cs="Times New Roman"/>
          <w:sz w:val="20"/>
          <w:szCs w:val="20"/>
        </w:rPr>
        <w:fldChar w:fldCharType="end"/>
      </w:r>
      <w:r>
        <w:rPr>
          <w:rFonts w:ascii="Times New Roman" w:hAnsi="Times New Roman" w:cs="Times New Roman"/>
          <w:sz w:val="20"/>
          <w:szCs w:val="20"/>
        </w:rPr>
        <w:t xml:space="preserve">, there is a relative paucity of evidence compared with adult populations. This is likely caused by logistical and environmental complexities associated with collecting, interpreting and utilising reliable data in these environments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{"citationID":"a28ebooknin","properties":{"formattedCitation":"(Salter, De Ste Croix, Hughes, et al., 2020)","plainCitation":"(Salter, De Ste Croix, Hughes, et al., 2020)","noteIndex":0},"citationItems":[{"id":4,"uris":["http://zotero.org/users/6352108/items/QQRSMSGI"],"itemData":{"id":4,"type":"article-journal","container-title":"International Journal of Sports Physiology and Performance","journalAbbreviation":"IJSPP","language":"en","page":"28","source":"Zotero","title":"Monitoring practices of training load and biological maturity in UK soccer academies","author":[{"family":"Salter","given":"Jamie"},{"family":"De Ste Croix","given":"Mark B.A."},{"family":"Hughes","given":"Jonathan D."},{"family":"Weston","given":"Matthew"},{"family":"Towlson","given":"Christopher"}],"issued":{"date-parts":[["2020"]]}}}],"schema":"https://github.com/citation-style-language/schema/raw/master/csl-citation.json"} </w:instrText>
      </w:r>
      <w:r>
        <w:rPr>
          <w:rFonts w:ascii="Times New Roman" w:hAnsi="Times New Roman" w:cs="Times New Roman"/>
          <w:sz w:val="20"/>
          <w:szCs w:val="20"/>
        </w:rPr>
        <w:fldChar w:fldCharType="separate"/>
      </w:r>
      <w:r w:rsidR="00983E02" w:rsidRPr="00983E02">
        <w:rPr>
          <w:rFonts w:ascii="Times New Roman" w:hAnsi="Times New Roman" w:cs="Times New Roman"/>
          <w:sz w:val="20"/>
        </w:rPr>
        <w:t>(Salter, De Ste Croix, Hughes, et al., 2020)</w:t>
      </w:r>
      <w:r>
        <w:rPr>
          <w:rFonts w:ascii="Times New Roman" w:hAnsi="Times New Roman" w:cs="Times New Roman"/>
          <w:sz w:val="20"/>
          <w:szCs w:val="20"/>
        </w:rPr>
        <w:fldChar w:fldCharType="end"/>
      </w:r>
      <w:r>
        <w:rPr>
          <w:rFonts w:ascii="Times New Roman" w:hAnsi="Times New Roman" w:cs="Times New Roman"/>
          <w:sz w:val="20"/>
          <w:szCs w:val="20"/>
        </w:rPr>
        <w:t xml:space="preserve">, further complicated by the non-linear </w:t>
      </w:r>
      <w:r w:rsidR="00DD6C54">
        <w:rPr>
          <w:rFonts w:ascii="Times New Roman" w:hAnsi="Times New Roman" w:cs="Times New Roman"/>
          <w:sz w:val="20"/>
          <w:szCs w:val="20"/>
        </w:rPr>
        <w:t xml:space="preserve">development </w:t>
      </w:r>
      <w:r>
        <w:rPr>
          <w:rFonts w:ascii="Times New Roman" w:hAnsi="Times New Roman" w:cs="Times New Roman"/>
          <w:sz w:val="20"/>
          <w:szCs w:val="20"/>
        </w:rPr>
        <w:t>through maturation.</w:t>
      </w:r>
    </w:p>
    <w:p w14:paraId="6DD7D7A0" w14:textId="77777777" w:rsidR="00835C45" w:rsidRDefault="00835C45" w:rsidP="00835C45">
      <w:pPr>
        <w:spacing w:line="480" w:lineRule="auto"/>
        <w:jc w:val="both"/>
        <w:rPr>
          <w:rFonts w:ascii="Times New Roman" w:hAnsi="Times New Roman" w:cs="Times New Roman"/>
          <w:sz w:val="20"/>
          <w:szCs w:val="20"/>
        </w:rPr>
      </w:pPr>
    </w:p>
    <w:p w14:paraId="0C781628" w14:textId="386DDC3B" w:rsidR="00835C45"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Studies exploring adolescent workloads within soccer have primarily adopted a chronological age-group approach, whereby they observe differences or similarities between chronological age-groups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{"citationID":"a2cco47mn7j","properties":{"formattedCitation":"(Arazi et al., 2020; Wrigley et al., 2012)","plainCitation":"(Arazi et al., 2020; Wrigley et al., 2012)","noteIndex":0},"citationItems":[{"id":1138,"uris":["http://zotero.org/users/6352108/items/GIZGPH5B"],"itemData":{"id":1138,"type":"article-journal","abstract":"This study aimed to investigate the relationship between the acute to chronic workload ratio (ACWR), based upon participant session rating of perceived exertion (sRPE), using 2 models (1. rolling averages [ACWRRA]; 2. exponentially weighted moving averages [ACWREWMA]) and the injury rate in young male team soccer players aged 17.1±0.7 years during a competitive mesocycle. Twenty-two players were enrolled in this study and performed 4 training sessions per week with 2 days of recovery and 1 match day per week. During each training session and each weekly match, training time and sRPE were recorded. In addition, training impulse (TRIMP), monotony and strain were subsequently calculated. The rate of injury was recorded for each soccer player over a period of 4 weeks (i.e., 28 days) using a daily questionnaire. The results showed that over the course of the study, the number of non-contact injuries was significantly higher than that for contact injuries (2.5 vs. 0.5, p=0.01). There were also significant positive correlations between sRPE and training time (r = 0.411, p = 0.039), ACWRRA (r = 0.47, p = 0.049), and ACWREWMA (r = 0.51, p = 0.038). In addition, small-to-medium correlations were detected between ACWR and non-contact injury occurrence (ACWRRA, r = 0.31, p = 0.05; ACWREWMA, r = 0.53, p = 0.03). Explained variance (r2) for non-contact injury was significantly greater using the ACWREWMA model (ranging between 21-52%) compared with ACWRRA (ranging between 17-39%). In conclusion, the results of this study showed that the ACWREWMA model is more sensitive than ACWRRA to identify non-contact injury occurrence in male team soccer players during a short period in the competitive season.","container-title":"Frontiers in Physiology","DOI":"10.3389/fphys.2020.00608","ISSN":"1664-042X","journalAbbreviation":"Front. Physiol.","language":"English","note":"publisher: Frontiers","source":"Frontiers","title":"Association Between the Acute to Chronic Workload Ratio and Injury Occurrence in Young Male Team Soccer Players: A Preliminary Study","title-short":"Association Between the Acute to Chronic Workload Ratio and Injury Occurrence in Young Male Team Soccer Players","URL":"https://www.frontiersin.org/articles/10.3389/fphys.2020.00608/full","volume":"11","author":[{"family":"Arazi","given":"Hamid"},{"family":"Asadi","given":"Abbas"},{"family":"Khalkhali","given":"Farhood"},{"family":"Boullosa","given":"Daniel"},{"family":"Hackney","given":"Anthony C."},{"family":"Granacher","given":"Urs"},{"family":"Zouhal","given":"Hassane"}],"accessed":{"date-parts":[["2020",6,24]]},"issued":{"date-parts":[["2020"]]}}},{"id":508,"uris":["http://zotero.org/users/6352108/items/G7ZDSHVK"],"itemData":{"id":508,"type":"article-journal","abstract":"We examined the typical weekly training load experienced by elite junior soccer players during the in-season competitive period. Altogether, eight under-14 (U14), eight under-16 (U16) and eight under-18 (U18) players were monitored over a 2week period during the ﬁrst month of the 2010–11 competitive season. This time period included one competitive match per week. Physiological loading was monitored using heart rate (HR) and ratings of perceived exertion (RPE). Training and match loads were calculated by multiplying the global session RPE and duration (session-RPE). Total weekly training load (training and match) increased with age (U14, 2524 + 128 arbitrary units [AU]; U16, 2919 + 136 AU; U18, 3948 + 222 AU; P 5 0.05). Differences in the daily training load across the training week were also evident in the older age group relative to both U14 and U16. The amount of time engaged in low (550% HRmax) and high (490% HRmax) intensity activity during training and match-play was signiﬁcantly lower and higher respectively in the U18 compared to the U14 group (P 5 0.05). When comparing activity, the intensity (% HRmax) of ﬁeld training (U18, 69 + 2%; U16, 74 + 1%; U14, 74 + 2%) was signiﬁcantly lower compared to match-play (U18, 81 + 3%; U16, 84, + 2%; U14, 83 + 2) across all age groups (P 5 0.05). Findings demonstrate that age related differences in the volume and intensity of weekly in-season training load are evident amongst elite professional junior soccer players. These differences may reﬂect a systematic approach to the long-term physical development of elite junior players.","container-title":"Journal of Sports Sciences","DOI":"10.1080/02640414.2012.709265","ISSN":"0264-0414, 1466-447X","issue":"15","journalAbbreviation":"Journal of Sports Sciences","language":"en","page":"1573-1580","source":"DOI.org (Crossref)","title":"Quantification of the typical weekly in-season training load in elite junior soccer players","volume":"30","author":[{"family":"Wrigley","given":"Russell"},{"family":"Drust","given":"Barry"},{"family":"Stratton","given":"Gareth"},{"family":"Scott","given":"Mark"},{"family":"Gregson","given":"Warren"}],"issued":{"date-parts":[["2012",11]]}}}],"schema":"https://github.com/citation-style-language/schema/raw/master/csl-citation.json"} </w:instrText>
      </w:r>
      <w:r>
        <w:rPr>
          <w:rFonts w:ascii="Times New Roman" w:hAnsi="Times New Roman" w:cs="Times New Roman"/>
          <w:sz w:val="20"/>
          <w:szCs w:val="20"/>
        </w:rPr>
        <w:fldChar w:fldCharType="separate"/>
      </w:r>
      <w:r w:rsidR="00983E02" w:rsidRPr="00983E02">
        <w:rPr>
          <w:rFonts w:ascii="Times New Roman" w:hAnsi="Times New Roman" w:cs="Times New Roman"/>
          <w:sz w:val="20"/>
        </w:rPr>
        <w:t>(Arazi et al., 2020; Wrigley et al., 2012)</w:t>
      </w:r>
      <w:r>
        <w:rPr>
          <w:rFonts w:ascii="Times New Roman" w:hAnsi="Times New Roman" w:cs="Times New Roman"/>
          <w:sz w:val="20"/>
          <w:szCs w:val="20"/>
        </w:rPr>
        <w:fldChar w:fldCharType="end"/>
      </w:r>
      <w:r>
        <w:rPr>
          <w:rFonts w:ascii="Times New Roman" w:hAnsi="Times New Roman" w:cs="Times New Roman"/>
          <w:sz w:val="20"/>
          <w:szCs w:val="20"/>
        </w:rPr>
        <w:t xml:space="preserve">. Granted, this approach aligns with systematic increases in coaching hours and related exposure durations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{"citationID":"ybTrgMey","properties":{"formattedCitation":"(Premier League, 2011)","plainCitation":"(Premier League, 2011)","noteIndex":0},"citationItems":[{"id":1214,"uris":["http://zotero.org/users/6352108/items/3ISHQ7J6"],"itemData":{"id":1214,"type":"document","publisher":"English Premier League","title":"The Elite Player Performance Plan","author":[{"family":"Premier League","given":""}],"issued":{"date-parts":[["2011"]]}}}],"schema":"https://github.com/citation-style-language/schema/raw/master/csl-citation.json"}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(Premier League, 2011)</w:t>
      </w:r>
      <w:r>
        <w:rPr>
          <w:rFonts w:ascii="Times New Roman" w:hAnsi="Times New Roman" w:cs="Times New Roman"/>
          <w:sz w:val="20"/>
          <w:szCs w:val="20"/>
        </w:rPr>
        <w:fldChar w:fldCharType="end"/>
      </w:r>
      <w:r>
        <w:rPr>
          <w:rFonts w:ascii="Times New Roman" w:hAnsi="Times New Roman" w:cs="Times New Roman"/>
          <w:sz w:val="20"/>
          <w:szCs w:val="20"/>
        </w:rPr>
        <w:t xml:space="preserve">, however it potentially oversimplifies the magnitude of individual variability associated with physical development. It is common to see large within-age-group variations in physical characteristics such as body mass (~50%), stature (~17%), percentages of predicted adult height (PAH: 10-15%) and fat free mass (~21%)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{"citationID":"ar28esvagv","properties":{"formattedCitation":"(Figueiredo et al., 2010)","plainCitation":"(Figueiredo et al., 2010)","noteIndex":0},"citationItems":[{"id":1311,"uris":["http://zotero.org/users/6352108/items/5YE8HZG5"],"itemData":{"id":1311,"type":"article-journal","container-title":"Pediatric Exercise Science","DOI":"10.1123/pes.22.4.596","ISSN":"0899-8493, 1543-2920","issue":"4","language":"en_US","note":"publisher: Human Kinetics, Inc.","page":"596-612","source":"journals-humankinetics-com.yorksj.idm.oclc.org","title":"Size and Maturity Mismatch in Youth Soccer Players 11- to 14-Years-Old","volume":"22","author":[{"family":"Figueiredo","given":"António J."},{"family":"Silva","given":"Manuel J. Coelho","dropping-particle":"e"},{"family":"Cumming","given":"Sean P."},{"family":"Malina","given":"Robert M."}],"issued":{"date-parts":[["2010",11,1]]}}}],"schema":"https://github.com/citation-style-language/schema/raw/master/csl-citation.json"} </w:instrText>
      </w:r>
      <w:r>
        <w:rPr>
          <w:rFonts w:ascii="Times New Roman" w:hAnsi="Times New Roman" w:cs="Times New Roman"/>
          <w:sz w:val="20"/>
          <w:szCs w:val="20"/>
        </w:rPr>
        <w:fldChar w:fldCharType="separate"/>
      </w:r>
      <w:r w:rsidR="00DD6C54" w:rsidRPr="00DD6C54">
        <w:rPr>
          <w:rFonts w:ascii="Times New Roman" w:hAnsi="Times New Roman" w:cs="Times New Roman"/>
          <w:sz w:val="20"/>
        </w:rPr>
        <w:t>(Figueiredo et al., 2010)</w:t>
      </w:r>
      <w:r>
        <w:rPr>
          <w:rFonts w:ascii="Times New Roman" w:hAnsi="Times New Roman" w:cs="Times New Roman"/>
          <w:sz w:val="20"/>
          <w:szCs w:val="20"/>
        </w:rPr>
        <w:fldChar w:fldCharType="end"/>
      </w:r>
      <w:r w:rsidR="00932478">
        <w:rPr>
          <w:rFonts w:ascii="Times New Roman" w:hAnsi="Times New Roman" w:cs="Times New Roman"/>
          <w:sz w:val="20"/>
          <w:szCs w:val="20"/>
        </w:rPr>
        <w:t xml:space="preserve">, </w:t>
      </w:r>
      <w:r w:rsidR="00932478" w:rsidRPr="00A2361E">
        <w:rPr>
          <w:rFonts w:ascii="Times New Roman" w:hAnsi="Times New Roman" w:cs="Times New Roman"/>
          <w:color w:val="000000" w:themeColor="text1"/>
          <w:sz w:val="20"/>
          <w:szCs w:val="20"/>
        </w:rPr>
        <w:t>which is typically severe between the ages of 13-15 years</w:t>
      </w:r>
      <w:r w:rsidRPr="00A2361E">
        <w:rPr>
          <w:rFonts w:ascii="Times New Roman" w:hAnsi="Times New Roman" w:cs="Times New Roman"/>
          <w:color w:val="000000" w:themeColor="text1"/>
          <w:sz w:val="20"/>
          <w:szCs w:val="20"/>
          <w:lang w:val="nl-NL"/>
        </w:rPr>
        <w:t xml:space="preserve">. </w:t>
      </w:r>
      <w:proofErr w:type="spellStart"/>
      <w:r w:rsidR="00932478" w:rsidRPr="00A2361E">
        <w:rPr>
          <w:rFonts w:ascii="Times New Roman" w:hAnsi="Times New Roman" w:cs="Times New Roman"/>
          <w:color w:val="000000" w:themeColor="text1"/>
          <w:sz w:val="20"/>
          <w:szCs w:val="20"/>
          <w:lang w:val="nl-NL"/>
        </w:rPr>
        <w:t>This</w:t>
      </w:r>
      <w:proofErr w:type="spellEnd"/>
      <w:r w:rsidR="00932478" w:rsidRPr="00A2361E">
        <w:rPr>
          <w:rFonts w:ascii="Times New Roman" w:hAnsi="Times New Roman" w:cs="Times New Roman"/>
          <w:color w:val="000000" w:themeColor="text1"/>
          <w:sz w:val="20"/>
          <w:szCs w:val="20"/>
          <w:lang w:val="nl-NL"/>
        </w:rPr>
        <w:t xml:space="preserve"> </w:t>
      </w:r>
      <w:proofErr w:type="spellStart"/>
      <w:r w:rsidR="00932478" w:rsidRPr="00A2361E">
        <w:rPr>
          <w:rFonts w:ascii="Times New Roman" w:hAnsi="Times New Roman" w:cs="Times New Roman"/>
          <w:color w:val="000000" w:themeColor="text1"/>
          <w:sz w:val="20"/>
          <w:szCs w:val="20"/>
          <w:lang w:val="nl-NL"/>
        </w:rPr>
        <w:t>period</w:t>
      </w:r>
      <w:proofErr w:type="spellEnd"/>
      <w:r w:rsidR="00932478" w:rsidRPr="00A2361E">
        <w:rPr>
          <w:rFonts w:ascii="Times New Roman" w:hAnsi="Times New Roman" w:cs="Times New Roman"/>
          <w:color w:val="000000" w:themeColor="text1"/>
          <w:sz w:val="20"/>
          <w:szCs w:val="20"/>
          <w:lang w:val="nl-NL"/>
        </w:rPr>
        <w:t xml:space="preserve"> </w:t>
      </w:r>
      <w:proofErr w:type="spellStart"/>
      <w:r w:rsidR="00932478" w:rsidRPr="00A2361E">
        <w:rPr>
          <w:rFonts w:ascii="Times New Roman" w:hAnsi="Times New Roman" w:cs="Times New Roman"/>
          <w:color w:val="000000" w:themeColor="text1"/>
          <w:sz w:val="20"/>
          <w:szCs w:val="20"/>
          <w:lang w:val="nl-NL"/>
        </w:rPr>
        <w:t>aligns</w:t>
      </w:r>
      <w:proofErr w:type="spellEnd"/>
      <w:r w:rsidR="00932478" w:rsidRPr="00A2361E">
        <w:rPr>
          <w:rFonts w:ascii="Times New Roman" w:hAnsi="Times New Roman" w:cs="Times New Roman"/>
          <w:color w:val="000000" w:themeColor="text1"/>
          <w:sz w:val="20"/>
          <w:szCs w:val="20"/>
          <w:lang w:val="nl-NL"/>
        </w:rPr>
        <w:t xml:space="preserve"> </w:t>
      </w:r>
      <w:proofErr w:type="spellStart"/>
      <w:r w:rsidR="00932478" w:rsidRPr="00A2361E">
        <w:rPr>
          <w:rFonts w:ascii="Times New Roman" w:hAnsi="Times New Roman" w:cs="Times New Roman"/>
          <w:color w:val="000000" w:themeColor="text1"/>
          <w:sz w:val="20"/>
          <w:szCs w:val="20"/>
          <w:lang w:val="nl-NL"/>
        </w:rPr>
        <w:t>with</w:t>
      </w:r>
      <w:proofErr w:type="spellEnd"/>
      <w:r w:rsidR="00932478" w:rsidRPr="00A2361E">
        <w:rPr>
          <w:rFonts w:ascii="Times New Roman" w:hAnsi="Times New Roman" w:cs="Times New Roman"/>
          <w:color w:val="000000" w:themeColor="text1"/>
          <w:sz w:val="20"/>
          <w:szCs w:val="20"/>
          <w:lang w:val="nl-NL"/>
        </w:rPr>
        <w:t xml:space="preserve"> </w:t>
      </w:r>
      <w:r w:rsidR="00932478" w:rsidRPr="00A2361E">
        <w:rPr>
          <w:rFonts w:ascii="Times New Roman" w:hAnsi="Times New Roman" w:cs="Times New Roman"/>
          <w:color w:val="000000" w:themeColor="text1"/>
          <w:sz w:val="20"/>
          <w:szCs w:val="20"/>
        </w:rPr>
        <w:t>the rapid changes in joint stiffness, bone density and imbalances between strength and flexibility, which contributes to ‘</w:t>
      </w:r>
      <w:r w:rsidR="00932478" w:rsidRPr="00A2361E">
        <w:rPr>
          <w:rFonts w:ascii="Times New Roman" w:hAnsi="Times New Roman" w:cs="Times New Roman"/>
          <w:i/>
          <w:color w:val="000000" w:themeColor="text1"/>
          <w:sz w:val="20"/>
          <w:szCs w:val="20"/>
        </w:rPr>
        <w:t>skeletal fragility</w:t>
      </w:r>
      <w:r w:rsidR="00932478" w:rsidRPr="00A2361E">
        <w:rPr>
          <w:rFonts w:ascii="Times New Roman" w:hAnsi="Times New Roman" w:cs="Times New Roman"/>
          <w:color w:val="000000" w:themeColor="text1"/>
          <w:sz w:val="20"/>
          <w:szCs w:val="20"/>
        </w:rPr>
        <w:t xml:space="preserve">’ </w:t>
      </w:r>
      <w:r w:rsidR="00932478" w:rsidRPr="00A2361E">
        <w:rPr>
          <w:rFonts w:ascii="Times New Roman" w:hAnsi="Times New Roman" w:cs="Times New Roman"/>
          <w:color w:val="000000" w:themeColor="text1"/>
          <w:sz w:val="20"/>
          <w:szCs w:val="20"/>
        </w:rPr>
        <w:fldChar w:fldCharType="begin"/>
      </w:r>
      <w:r w:rsidR="00DF0C2E" w:rsidRPr="00A2361E">
        <w:rPr>
          <w:rFonts w:ascii="Times New Roman" w:hAnsi="Times New Roman" w:cs="Times New Roman"/>
          <w:color w:val="000000" w:themeColor="text1"/>
          <w:sz w:val="20"/>
          <w:szCs w:val="20"/>
        </w:rPr>
        <w:instrText xml:space="preserve"> ADDIN ZOTERO_ITEM CSL_CITATION {"citationID":"qipQvYT0","properties":{"formattedCitation":"(Ford et al., 2010; van der Sluis et al., 2013)","plainCitation":"(Ford et al., 2010; van der Sluis et al., 2013)","noteIndex":0},"citationItems":[{"id":174,"uris":["http://zotero.org/users/6352108/items/88C2HGBJ"],"itemData":{"id":174,"type":"article-journal","abstract":"Background: Yearly changes in active joint stiffness may help explain when neuromuscular sex differences emerge in adolescent athletes that may relate to increased anterior cruciate ligament injury risk in females.Hypothesis: Pubertal males would demonstrate increases in knee stiffness while pubertal females would not. Second, postpubertal female athletes would have significantly lower knee joint stiffness than postpubertal male athletes.Study Design: Cohort Study; Level of Evidence 2 and Cross-Sectional Study; Level of Evidence 3.Methods: Two hundred sixty-five females and 50 males participated in 2 testing sessions approximately 1 year apart. The subjects were classified as either pubertal (n = 182, age 12.4 ± 0.9 years) or postpubertal (n = 133, age 14.5 ± 1.4 years) based on the modified Pubertal Maturational Observational Scale at each visit. Active joint stiffness of the ankle, knee, and hip was estimated during a drop vertical jump. Stiffness was calculated as the slope of the moment-angle curve from a least squares linear regression during the stance phase.Results: All athletes showed increased active knee stiffness during the span of a year (P &lt; 0.05). However, this increase was not different when stiffness was normalized to body mass. Only males demonstrated greater magnitudes of ankle and hip active stiffness (P &lt; .05). Peak ankle and hip moments, but not knee moments, in postpubertal males were significantly greater than postpubertal females (P &lt; .05). Females had a higher knee to hip moment ratio than males (P &lt; .05).Conclusion: Both males and females showed increased active knee stiffness during the span of a year; males demonstrated increased ankle and hip active stiffness as well. Differences in hip joint posture at initial contact (greater flexion in males) and external hip flexion moment (greater flexion magnitude in males) may indicate that males use a different hip recruitment strategy during drop vertical jumps than females.","container-title":"The American Journal of Sports Medicine","DOI":"10.1177/0363546510367425","ISSN":"0363-5465","issue":"9","journalAbbreviation":"Am J Sports Med","note":"publisher: SAGE Publications Inc STM","page":"1829-1837","source":"SAGE Journals","title":"Longitudinal Effects of Maturation on Lower Extremity Joint Stiffness in Adolescent Athletes","volume":"38","author":[{"family":"Ford","given":"Kevin"},{"family":"Myer","given":"Gregory"},{"family":"Hewett","given":"Timothy E."}],"issued":{"date-parts":[["2010",9,1]]}}},{"id":733,"uris":["http://zotero.org/users/6352108/items/R3IRT8KQ"],"itemData":{"id":733,"type":"article-journal","container-title":"International Journal of Sports Medicine","DOI":"10.1055/s-0033-1349874","ISSN":"0172-4622, 1439-3964","issue":"04","journalAbbreviation":"Int J Sports Med","language":"en","page":"351-355","source":"DOI.org (Crossref)","title":"Sport Injuries Aligned to Peak Height Velocity in Talented Pubertal Soccer Players","volume":"35","author":[{"family":"Sluis","given":"A.","non-dropping-particle":"van der"},{"family":"Elferink-Gemser","given":"M."},{"family":"Coelho-e-Silva","given":"M."},{"family":"Nijboer","given":"J."},{"family":"Brink","given":"M."},{"family":"Visscher","given":"C."}],"issued":{"date-parts":[["2013",9,10]]}}}],"schema":"https://github.com/citation-style-language/schema/raw/master/csl-citation.json"} </w:instrText>
      </w:r>
      <w:r w:rsidR="00932478" w:rsidRPr="00A2361E">
        <w:rPr>
          <w:rFonts w:ascii="Times New Roman" w:hAnsi="Times New Roman" w:cs="Times New Roman"/>
          <w:color w:val="000000" w:themeColor="text1"/>
          <w:sz w:val="20"/>
          <w:szCs w:val="20"/>
        </w:rPr>
        <w:fldChar w:fldCharType="separate"/>
      </w:r>
      <w:r w:rsidR="00DF0C2E" w:rsidRPr="00A2361E">
        <w:rPr>
          <w:rFonts w:ascii="Times New Roman" w:hAnsi="Times New Roman" w:cs="Times New Roman"/>
          <w:noProof/>
          <w:color w:val="000000" w:themeColor="text1"/>
          <w:sz w:val="20"/>
          <w:szCs w:val="20"/>
        </w:rPr>
        <w:t>(Ford et al., 2010; van der Sluis et al., 2013)</w:t>
      </w:r>
      <w:r w:rsidR="00932478" w:rsidRPr="00A2361E">
        <w:rPr>
          <w:rFonts w:ascii="Times New Roman" w:hAnsi="Times New Roman" w:cs="Times New Roman"/>
          <w:color w:val="000000" w:themeColor="text1"/>
          <w:sz w:val="20"/>
          <w:szCs w:val="20"/>
        </w:rPr>
        <w:fldChar w:fldCharType="end"/>
      </w:r>
      <w:r w:rsidR="00932478" w:rsidRPr="00A2361E">
        <w:rPr>
          <w:rFonts w:ascii="Times New Roman" w:hAnsi="Times New Roman" w:cs="Times New Roman"/>
          <w:color w:val="000000" w:themeColor="text1"/>
          <w:sz w:val="20"/>
          <w:szCs w:val="20"/>
        </w:rPr>
        <w:t xml:space="preserve">. </w:t>
      </w:r>
      <w:proofErr w:type="spellStart"/>
      <w:r w:rsidR="00932478" w:rsidRPr="00A2361E">
        <w:rPr>
          <w:rFonts w:ascii="Times New Roman" w:hAnsi="Times New Roman" w:cs="Times New Roman"/>
          <w:color w:val="000000" w:themeColor="text1"/>
          <w:sz w:val="20"/>
          <w:szCs w:val="20"/>
        </w:rPr>
        <w:t>Rommers</w:t>
      </w:r>
      <w:proofErr w:type="spellEnd"/>
      <w:r w:rsidR="00932478" w:rsidRPr="00A2361E">
        <w:rPr>
          <w:rFonts w:ascii="Times New Roman" w:hAnsi="Times New Roman" w:cs="Times New Roman"/>
          <w:color w:val="000000" w:themeColor="text1"/>
          <w:sz w:val="20"/>
          <w:szCs w:val="20"/>
        </w:rPr>
        <w:t xml:space="preserve"> et al </w:t>
      </w:r>
      <w:r w:rsidR="00932478" w:rsidRPr="00A2361E">
        <w:rPr>
          <w:rFonts w:ascii="Times New Roman" w:hAnsi="Times New Roman" w:cs="Times New Roman"/>
          <w:color w:val="000000" w:themeColor="text1"/>
          <w:sz w:val="20"/>
          <w:szCs w:val="20"/>
        </w:rPr>
        <w:fldChar w:fldCharType="begin"/>
      </w:r>
      <w:r w:rsidR="00932478" w:rsidRPr="00A2361E">
        <w:rPr>
          <w:rFonts w:ascii="Times New Roman" w:hAnsi="Times New Roman" w:cs="Times New Roman"/>
          <w:color w:val="000000" w:themeColor="text1"/>
          <w:sz w:val="20"/>
          <w:szCs w:val="20"/>
        </w:rPr>
        <w:instrText xml:space="preserve"> ADDIN ZOTERO_ITEM CSL_CITATION {"citationID":"a2p83ea2idh","properties":{"formattedCitation":"(2020)","plainCitation":"(2020)","noteIndex":0},"citationItems":[{"id":230,"uris":["http://zotero.org/users/6352108/items/JT7LNKFM"],"itemData":{"id":230,"type":"article-journal","abstract":"Objectives: This study investigated anthropometric measures and growth as risk factors for overuse and acute injuries in younger (U10–U12) and older (U13–U15) elite level soccer players. Design: Prospective cohort study.\nMethods: Height, weight, and sitting height were measured at the start and the end of the 2016–2017 competitive season and growth velocities were calculated. Throughout the season, injuries were registered continuously by the (para-)medical staff of the included clubs. We analyzed the injury risk using multilevel Poisson regression models, accounting for club and team clustering.\nResults: Of the included 314 players (11.7 ± 1.7 years of age), 160 players sustained 133 overuse and 163 acute injuries (i.e. 106 injuries in 69 players of the younger group, 190 in 91 players of the older group). In the younger group, risk of overuse injuries was associated with an increase in leg length over the season (incidence rate ratio (IRR) 1.620 [95% CI 1.230–2.117]) and risk of acute injuries with relatively younger age (IRR 1.003 [95% CI 1.000–1.006]). In the older group, a higher leg length was associated with an increased risk of overuse injuries (IRR 1.055 [95% CI 1.011–1.108]), and a higher weight and a lower growth rate with an increased risk of acute injuries (IRR 1.043 [95% CI 1.021–1.067] and 0.903 [95% CI 0.831–0.981], respectively).\nConclusions: Injury risk factors differ by age group and type of injury. The age-speciﬁc anthropometric and growth-related risk factors should be monitored and these risk proﬁles should be considered to manage injury risk effectively.","container-title":"Journal of Science and Medicine in Sport","DOI":"10.1016/j.jsams.2019.10.001","ISSN":"14402440","issue":"3","journalAbbreviation":"Journal of Science and Medicine in Sport","language":"en","page":"246-251","source":"DOI.org (Crossref)","title":"Risk of acute and overuse injuries in youth elite soccer players: Body size and growth matter","title-short":"Risk of acute and overuse injuries in youth elite soccer players","volume":"23","author":[{"family":"Rommers","given":"Nikki"},{"family":"Rössler","given":"Roland"},{"family":"Goossens","given":"Lennert"},{"family":"Vaeyens","given":"Roel"},{"family":"Lenoir","given":"Matthieu"},{"family":"Witvrouw","given":"Erik"},{"family":"D’Hondt","given":"Eva"}],"issued":{"date-parts":[["2020",3]]}},"suppress-author":true}],"schema":"https://github.com/citation-style-language/schema/raw/master/csl-citation.json"} </w:instrText>
      </w:r>
      <w:r w:rsidR="00932478" w:rsidRPr="00A2361E">
        <w:rPr>
          <w:rFonts w:ascii="Times New Roman" w:hAnsi="Times New Roman" w:cs="Times New Roman"/>
          <w:color w:val="000000" w:themeColor="text1"/>
          <w:sz w:val="20"/>
          <w:szCs w:val="20"/>
        </w:rPr>
        <w:fldChar w:fldCharType="separate"/>
      </w:r>
      <w:r w:rsidR="00932478" w:rsidRPr="00A2361E">
        <w:rPr>
          <w:rFonts w:ascii="Times New Roman" w:hAnsi="Times New Roman" w:cs="Times New Roman"/>
          <w:color w:val="000000" w:themeColor="text1"/>
          <w:sz w:val="20"/>
          <w:szCs w:val="20"/>
        </w:rPr>
        <w:t>(2020)</w:t>
      </w:r>
      <w:r w:rsidR="00932478" w:rsidRPr="00A2361E">
        <w:rPr>
          <w:rFonts w:ascii="Times New Roman" w:hAnsi="Times New Roman" w:cs="Times New Roman"/>
          <w:color w:val="000000" w:themeColor="text1"/>
          <w:sz w:val="20"/>
          <w:szCs w:val="20"/>
        </w:rPr>
        <w:fldChar w:fldCharType="end"/>
      </w:r>
      <w:r w:rsidR="00932478" w:rsidRPr="00A2361E">
        <w:rPr>
          <w:rFonts w:ascii="Times New Roman" w:hAnsi="Times New Roman" w:cs="Times New Roman"/>
          <w:color w:val="000000" w:themeColor="text1"/>
          <w:sz w:val="20"/>
          <w:szCs w:val="20"/>
        </w:rPr>
        <w:t xml:space="preserve"> identified that U13-U15 players experienced a greater rate of growth per year (6.2 vs. 5 cm) and weight change (6.4 vs. 3.4 kg) than younger players (U10-U12), which contributed to more than double the frequency of overuse injuries (93 vs. 40) and almost three-fold increase in injury burden (14.6 vs. 4.7 days/season). These rapid changes in musculoskeletal structure (triggered by the onset of PHV) and apparent lag time to adequate relative strength is individually variable based on maturity timing and tempo, which likely corresponds to a variation in readiness to perform, ability to recover and by inference vulnerability to injuries </w:t>
      </w:r>
      <w:r w:rsidR="00932478" w:rsidRPr="00A2361E">
        <w:rPr>
          <w:rFonts w:ascii="Times New Roman" w:hAnsi="Times New Roman" w:cs="Times New Roman"/>
          <w:color w:val="000000" w:themeColor="text1"/>
          <w:sz w:val="20"/>
          <w:szCs w:val="20"/>
        </w:rPr>
        <w:fldChar w:fldCharType="begin"/>
      </w:r>
      <w:r w:rsidR="00932478" w:rsidRPr="00A2361E">
        <w:rPr>
          <w:rFonts w:ascii="Times New Roman" w:hAnsi="Times New Roman" w:cs="Times New Roman"/>
          <w:color w:val="000000" w:themeColor="text1"/>
          <w:sz w:val="20"/>
          <w:szCs w:val="20"/>
        </w:rPr>
        <w:instrText xml:space="preserve"> ADDIN ZOTERO_ITEM CSL_CITATION {"citationID":"a11vpgbftqj","properties":{"formattedCitation":"(Dudink, 1994; Rommers et al., 2020)","plainCitation":"(Dudink, 1994; Rommers et al., 2020)","noteIndex":0},"citationItems":[{"id":300,"uris":["http://zotero.org/users/6352108/items/QFLJW2NT"],"itemData":{"id":300,"type":"article-journal","container-title":"Nature","DOI":"10.1038/368592a0","ISSN":"0028-0836, 1476-4687","issue":"6472","journalAbbreviation":"Nature","language":"en","page":"592-592","source":"DOI.org (Crossref)","title":"Birth date and sporting success","volume":"368","author":[{"family":"Dudink","given":"Ad"}],"issued":{"date-parts":[["1994",4]]}}},{"id":230,"uris":["http://zotero.org/users/6352108/items/JT7LNKFM"],"itemData":{"id":230,"type":"article-journal","abstract":"Objectives: This study investigated anthropometric measures and growth as risk factors for overuse and acute injuries in younger (U10–U12) and older (U13–U15) elite level soccer players. Design: Prospective cohort study.\nMethods: Height, weight, and sitting height were measured at the start and the end of the 2016–2017 competitive season and growth velocities were calculated. Throughout the season, injuries were registered continuously by the (para-)medical staff of the included clubs. We analyzed the injury risk using multilevel Poisson regression models, accounting for club and team clustering.\nResults: Of the included 314 players (11.7 ± 1.7 years of age), 160 players sustained 133 overuse and 163 acute injuries (i.e. 106 injuries in 69 players of the younger group, 190 in 91 players of the older group). In the younger group, risk of overuse injuries was associated with an increase in leg length over the season (incidence rate ratio (IRR) 1.620 [95% CI 1.230–2.117]) and risk of acute injuries with relatively younger age (IRR 1.003 [95% CI 1.000–1.006]). In the older group, a higher leg length was associated with an increased risk of overuse injuries (IRR 1.055 [95% CI 1.011–1.108]), and a higher weight and a lower growth rate with an increased risk of acute injuries (IRR 1.043 [95% CI 1.021–1.067] and 0.903 [95% CI 0.831–0.981], respectively).\nConclusions: Injury risk factors differ by age group and type of injury. The age-speciﬁc anthropometric and growth-related risk factors should be monitored and these risk proﬁles should be considered to manage injury risk effectively.","container-title":"Journal of Science and Medicine in Sport","DOI":"10.1016/j.jsams.2019.10.001","ISSN":"14402440","issue":"3","journalAbbreviation":"Journal of Science and Medicine in Sport","language":"en","page":"246-251","source":"DOI.org (Crossref)","title":"Risk of acute and overuse injuries in youth elite soccer players: Body size and growth matter","title-short":"Risk of acute and overuse injuries in youth elite soccer players","volume":"23","author":[{"family":"Rommers","given":"Nikki"},{"family":"Rössler","given":"Roland"},{"family":"Goossens","given":"Lennert"},{"family":"Vaeyens","given":"Roel"},{"family":"Lenoir","given":"Matthieu"},{"family":"Witvrouw","given":"Erik"},{"family":"D’Hondt","given":"Eva"}],"issued":{"date-parts":[["2020",3]]}}}],"schema":"https://github.com/citation-style-language/schema/raw/master/csl-citation.json"} </w:instrText>
      </w:r>
      <w:r w:rsidR="00932478" w:rsidRPr="00A2361E">
        <w:rPr>
          <w:rFonts w:ascii="Times New Roman" w:hAnsi="Times New Roman" w:cs="Times New Roman"/>
          <w:color w:val="000000" w:themeColor="text1"/>
          <w:sz w:val="20"/>
          <w:szCs w:val="20"/>
        </w:rPr>
        <w:fldChar w:fldCharType="separate"/>
      </w:r>
      <w:r w:rsidR="00932478" w:rsidRPr="00A2361E">
        <w:rPr>
          <w:rFonts w:ascii="Times New Roman" w:hAnsi="Times New Roman" w:cs="Times New Roman"/>
          <w:color w:val="000000" w:themeColor="text1"/>
          <w:sz w:val="20"/>
          <w:szCs w:val="20"/>
        </w:rPr>
        <w:t xml:space="preserve">(Dudink, 1994; Rommers et </w:t>
      </w:r>
      <w:r w:rsidR="00932478" w:rsidRPr="00A2361E">
        <w:rPr>
          <w:rFonts w:ascii="Times New Roman" w:hAnsi="Times New Roman" w:cs="Times New Roman"/>
          <w:color w:val="000000" w:themeColor="text1"/>
          <w:sz w:val="20"/>
          <w:szCs w:val="20"/>
        </w:rPr>
        <w:lastRenderedPageBreak/>
        <w:t>al., 2020)</w:t>
      </w:r>
      <w:r w:rsidR="00932478" w:rsidRPr="00A2361E">
        <w:rPr>
          <w:rFonts w:ascii="Times New Roman" w:hAnsi="Times New Roman" w:cs="Times New Roman"/>
          <w:color w:val="000000" w:themeColor="text1"/>
          <w:sz w:val="20"/>
          <w:szCs w:val="20"/>
        </w:rPr>
        <w:fldChar w:fldCharType="end"/>
      </w:r>
      <w:r w:rsidR="00932478" w:rsidRPr="00A2361E">
        <w:rPr>
          <w:rFonts w:ascii="Times New Roman" w:hAnsi="Times New Roman" w:cs="Times New Roman"/>
          <w:color w:val="000000" w:themeColor="text1"/>
          <w:sz w:val="20"/>
          <w:szCs w:val="20"/>
        </w:rPr>
        <w:t xml:space="preserve">. </w:t>
      </w:r>
      <w:r w:rsidR="00932478">
        <w:rPr>
          <w:rFonts w:ascii="Times New Roman" w:hAnsi="Times New Roman" w:cs="Times New Roman"/>
          <w:sz w:val="20"/>
          <w:szCs w:val="20"/>
        </w:rPr>
        <w:t>This</w:t>
      </w:r>
      <w:r>
        <w:rPr>
          <w:rFonts w:ascii="Times New Roman" w:hAnsi="Times New Roman" w:cs="Times New Roman"/>
          <w:sz w:val="20"/>
          <w:szCs w:val="20"/>
        </w:rPr>
        <w:t xml:space="preserve"> infer</w:t>
      </w:r>
      <w:r w:rsidR="00932478">
        <w:rPr>
          <w:rFonts w:ascii="Times New Roman" w:hAnsi="Times New Roman" w:cs="Times New Roman"/>
          <w:sz w:val="20"/>
          <w:szCs w:val="20"/>
        </w:rPr>
        <w:t>s</w:t>
      </w:r>
      <w:r>
        <w:rPr>
          <w:rFonts w:ascii="Times New Roman" w:hAnsi="Times New Roman" w:cs="Times New Roman"/>
          <w:sz w:val="20"/>
          <w:szCs w:val="20"/>
        </w:rPr>
        <w:t xml:space="preserve"> that exposing all individuals of a similar chronological age to age-specified workloads is a flawed strategy and is reasonable to expect that early- and late-maturers will experience different dose-responses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{"citationID":"a2h0vg69vgk","properties":{"formattedCitation":"(Salter, De Ste Croix, &amp; Hughes, 2020)","plainCitation":"(Salter, De Ste Croix, &amp; Hughes, 2020)","noteIndex":0},"citationItems":[{"id":3,"uris":["http://zotero.org/users/6352108/items/NNHDHXHB"],"itemData":{"id":3,"type":"article-journal","container-title":"European Journal of Sport Science","language":"en","page":"17","source":"Zotero","title":"The moderating impact of maturation on acute neuromuscular and psycho-physiological responses to simulated soccer activity in academy soccer players","volume":"In press","author":[{"family":"Salter","given":"Jamie"},{"family":"De Ste Croix","given":"Mark B.A."},{"family":"Hughes","given":"Jonathan D."}],"issued":{"date-parts":[["2020"]]}}}],"schema":"https://github.com/citation-style-language/schema/raw/master/csl-citation.json"} </w:instrText>
      </w:r>
      <w:r>
        <w:rPr>
          <w:rFonts w:ascii="Times New Roman" w:hAnsi="Times New Roman" w:cs="Times New Roman"/>
          <w:sz w:val="20"/>
          <w:szCs w:val="20"/>
        </w:rPr>
        <w:fldChar w:fldCharType="separate"/>
      </w:r>
      <w:r w:rsidR="00983E02" w:rsidRPr="00983E02">
        <w:rPr>
          <w:rFonts w:ascii="Times New Roman" w:hAnsi="Times New Roman" w:cs="Times New Roman"/>
          <w:sz w:val="20"/>
        </w:rPr>
        <w:t>(Salter, De Ste Croix, &amp; Hughes, 2020)</w:t>
      </w:r>
      <w:r>
        <w:rPr>
          <w:rFonts w:ascii="Times New Roman" w:hAnsi="Times New Roman" w:cs="Times New Roman"/>
          <w:sz w:val="20"/>
          <w:szCs w:val="20"/>
        </w:rPr>
        <w:fldChar w:fldCharType="end"/>
      </w:r>
      <w:r>
        <w:rPr>
          <w:rFonts w:ascii="Times New Roman" w:hAnsi="Times New Roman" w:cs="Times New Roman"/>
          <w:sz w:val="20"/>
          <w:szCs w:val="20"/>
        </w:rPr>
        <w:t xml:space="preserve">. Evidence suggests that maturation (timing and tempo) </w:t>
      </w:r>
      <w:r w:rsidR="00932478">
        <w:rPr>
          <w:rFonts w:ascii="Times New Roman" w:hAnsi="Times New Roman" w:cs="Times New Roman"/>
          <w:sz w:val="20"/>
          <w:szCs w:val="20"/>
        </w:rPr>
        <w:t xml:space="preserve">also </w:t>
      </w:r>
      <w:r>
        <w:rPr>
          <w:rFonts w:ascii="Times New Roman" w:hAnsi="Times New Roman" w:cs="Times New Roman"/>
          <w:sz w:val="20"/>
          <w:szCs w:val="20"/>
        </w:rPr>
        <w:t xml:space="preserve">interacts with various components of physical performance including sprint speed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{"citationID":"lr1YAlG6","properties":{"formattedCitation":"(Meyers et al., 2017)","plainCitation":"(Meyers et al., 2017)","noteIndex":0},"citationItems":[{"id":738,"uris":["http://zotero.org/users/6352108/items/LQ4ZKW2X"],"itemData":{"id":738,"type":"article-journal","abstract":"Meyers, RW, Oliver, JL, Hughes, MG, Lloyd, RS, and Cronin, JB. Inﬂuence of age, maturity, and body size on the spatiotemporal determinants of maximal sprint speed in boys. J Strength Cond Res 31(4): 1009–1016, 2017—The aim of this study was to investigate the inﬂuence of age, maturity, and body size on the spatiotemporal determinants of maximal sprint speed in boys. Three-hundred and seventy-ﬁve boys (age: 13.0 6 1.3 years) completed a 30-m sprint test, during which maximal speed, step length, step frequency, contact time, and ﬂight time were recorded using an optical measurement system. Body mass, height, leg length, and a maturity offset represented somatic variables. Step frequency accounted for the highest proportion of variance in speed (;58%) in the pre–peak height velocity (pre-PHV) group, whereas step length explained the majority of the variance in speed (;54%) in the post-PHV group. In the pre-PHV group, mass was negatively related to speed, step length, step frequency, and contact time; however, measures of stature had a positive inﬂuence on speed and step length yet a negative inﬂuence on step frequency. Speed and step length were also negatively inﬂuence by mass in the post-PHV group, whereas leg length continued to positively inﬂuence step length. The results highlighted that pre-PHV boys may be deemed step frequency reliant, whereas those post-PHV boys may be marginally step length reliant. Furthermore, the negative inﬂuence of body mass, both pre-PHV and post-PHV, suggests that training to optimize sprint performance in youth should include methods such as plyometric and strength training, where a high neuromuscular focus and the development force production relative to body weight are key foci.","container-title":"Journal of Strength and Conditioning Research","DOI":"10.1519/JSC.0000000000001310","ISSN":"1064-8011","issue":"4","journalAbbreviation":"Journal of Strength and Conditioning Research","language":"en","page":"1009-1016","source":"DOI.org (Crossref)","title":"Influence of Age, Maturity, and Body Size on the Spatiotemporal Determinants of Maximal Sprint Speed in Boys:","title-short":"Influence of Age, Maturity, and Body Size on the Spatiotemporal Determinants of Maximal Sprint Speed in Boys","volume":"31","author":[{"family":"Meyers","given":"Robert W."},{"family":"Oliver","given":"Jon L."},{"family":"Hughes","given":"Michael G."},{"family":"Lloyd","given":"Rhodri S."},{"family":"Cronin","given":"John B."}],"issued":{"date-parts":[["2017",4]]}}}],"schema":"https://github.com/citation-style-language/schema/raw/master/csl-citation.json"}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(Meyers et al., 2017)</w:t>
      </w:r>
      <w:r>
        <w:rPr>
          <w:rFonts w:ascii="Times New Roman" w:hAnsi="Times New Roman" w:cs="Times New Roman"/>
          <w:sz w:val="20"/>
          <w:szCs w:val="20"/>
        </w:rPr>
        <w:fldChar w:fldCharType="end"/>
      </w:r>
      <w:r>
        <w:rPr>
          <w:rFonts w:ascii="Times New Roman" w:hAnsi="Times New Roman" w:cs="Times New Roman"/>
          <w:sz w:val="20"/>
          <w:szCs w:val="20"/>
        </w:rPr>
        <w:t xml:space="preserve">, match running performance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{"citationID":"SOHBfN1m","properties":{"formattedCitation":"(Buchheit &amp; Mendez-Villanueva, 2014)","plainCitation":"(Buchheit &amp; Mendez-Villanueva, 2014)","noteIndex":0},"citationItems":[{"id":"yyViyKf2/JMgIzkFa","uris":["http://zotero.org/users/6352108/items/9KH9Z4ZJ"],"itemData":{"id":1210,"type":"article-journal","abstract":"The aim of the present study was to compare, in 36 highly trained under-15 soccer players, the respective effects of age, maturity and body dimensions on match running performance. Maximal sprinting (MSS) and aerobic speeds were estimated. Match running performance was analysed with GPS (GPSport, 1 Hz) during 19 international friendly games (n = 115 player-ﬁles). Total distance and distance covered &gt;16 km h–1 (D &gt; 16 km h−1) were collected. Players advanced in age and/or maturation, or having larger body dimensions presented greater locomotor (Cohen’s d for MSS: 0.5–1.0, likely to almost certain) and match running performances (D &gt; 16 km h−1: 0.2–0.5, possibly to likely) than their younger, less mature and/or smaller teammates. These age-, maturation- and body size-related differences were of larger magnitude for ﬁeld test measures versus match running performance. Compared with age and body size (unclear to likely), maturation (likely to almost certainly for all match variables) had the greatest impact on match running performance. The magnitude of the relationships between age, maturation and body dimensions and match running performance were position-dependent. Within a single age-group in the present player sample, maturation had a substantial impact on match running performance, especially in attacking players. Coaches may need to consider players’ maturity status when assessing their on-ﬁeld playing performance.","container-title":"Journal of Sports Sciences","DOI":"10.1080/02640414.2014.884721","ISSN":"0264-0414, 1466-447X","issue":"13","journalAbbreviation":"Journal of Sports Sciences","language":"en","page":"1271-1278","source":"DOI.org (Crossref)","title":"Effects of age, maturity and body dimensions on match running performance in highly trained under-15 soccer players","volume":"32","author":[{"family":"Buchheit","given":"Martin"},{"family":"Mendez-Villanueva","given":"Alberto"}],"issued":{"date-parts":[["2014",8,9]]}}}],"schema":"https://github.com/citation-style-language/schema/raw/master/csl-citation.json"}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(Buchheit &amp; Mendez-Villanueva, 2014)</w:t>
      </w:r>
      <w:r>
        <w:rPr>
          <w:rFonts w:ascii="Times New Roman" w:hAnsi="Times New Roman" w:cs="Times New Roman"/>
          <w:sz w:val="20"/>
          <w:szCs w:val="20"/>
        </w:rPr>
        <w:fldChar w:fldCharType="end"/>
      </w:r>
      <w:r>
        <w:rPr>
          <w:rFonts w:ascii="Times New Roman" w:hAnsi="Times New Roman" w:cs="Times New Roman"/>
          <w:sz w:val="20"/>
          <w:szCs w:val="20"/>
        </w:rPr>
        <w:t xml:space="preserve">, strength  and muscle architecture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{"citationID":"Qgifvi0u","properties":{"formattedCitation":"(Radnor et al., 2020)","plainCitation":"(Radnor et al., 2020)","noteIndex":0},"citationItems":[{"id":162,"uris":["http://zotero.org/users/6352108/items/UQMY53QX"],"itemData":{"id":162,"type":"article-journal","container-title":"Pediatric Exercise Science","DOI":"10.1123/pes.2019-0201","ISSN":"0899-8493, 1543-2920","issue":"2","language":"en_US","note":"publisher: Human Kinetics","page":"89-96","source":"journals-humankinetics-com.yorksj.idm.oclc.org","title":"The Influence of Maturity Status on Muscle Architecture in School-Aged Boys","volume":"32","author":[{"family":"Radnor","given":"John M."},{"family":"Oliver","given":"Jon L."},{"family":"Waugh","given":"Charlotte M."},{"family":"Myer","given":"Gregory"},{"family":"Lloyd","given":"Rhodri S."}],"issued":{"date-parts":[["2020",2,18]]}}}],"schema":"https://github.com/citation-style-language/schema/raw/master/csl-citation.json"}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(Radnor et al., 2020)</w:t>
      </w:r>
      <w:r>
        <w:rPr>
          <w:rFonts w:ascii="Times New Roman" w:hAnsi="Times New Roman" w:cs="Times New Roman"/>
          <w:sz w:val="20"/>
          <w:szCs w:val="20"/>
        </w:rPr>
        <w:fldChar w:fldCharType="end"/>
      </w:r>
      <w:r>
        <w:rPr>
          <w:rFonts w:ascii="Times New Roman" w:hAnsi="Times New Roman" w:cs="Times New Roman"/>
          <w:sz w:val="20"/>
          <w:szCs w:val="20"/>
        </w:rPr>
        <w:t xml:space="preserve">. These interactions indicate variable maturity-related adaptations, and it is therefore unrealistic to expect all players within a given chronological age-group to cope with prescribed loads equally. </w:t>
      </w:r>
    </w:p>
    <w:p w14:paraId="75F6B34D" w14:textId="77777777" w:rsidR="00835C45" w:rsidRDefault="00835C45" w:rsidP="00835C45">
      <w:pPr>
        <w:spacing w:line="480" w:lineRule="auto"/>
        <w:jc w:val="both"/>
        <w:rPr>
          <w:rFonts w:ascii="Times New Roman" w:hAnsi="Times New Roman" w:cs="Times New Roman"/>
          <w:sz w:val="20"/>
          <w:szCs w:val="20"/>
        </w:rPr>
      </w:pPr>
    </w:p>
    <w:p w14:paraId="144988B6" w14:textId="2FDB90DA" w:rsidR="00835C45"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Age-related dose-responses may have small implications for acute between-session recovery, however over prolonged periods, this broad brush approach to load prescription may well contribute to the relatively high injury incidence observed across adolescent age groups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{"citationID":"a1m6hhdqhg7","properties":{"formattedCitation":"(Read et al., 2018; Rommers et al., 2020)","plainCitation":"(Read et al., 2018; Rommers et al., 2020)","noteIndex":0},"citationItems":[{"id":8,"uris":["http://zotero.org/users/6352108/items/VZ6PQANG"],"itemData":{"id":8,"type":"article-journal","abstract":"Regulations now state that professional academies in the United Kingdom are required to substantially increase the volume of soccer training. This study assessed the current injury occurrence, providing an update to reports published prior to the introduction of the Elite Player Performance Plan (EPPP). 608 soccer players aged 11–18 years from six professional soccer clubs were prospectively monitored, recording injuries during the 2014–2015 season. An injury rate of 1.32 injuries per player/season was indicated with a mean time loss of 21.9 days per injury. The greatest time loss per injury was in the U14s-U15s, and the highest rate of severe injuries in the U15s. Strains and sprains were the most common injury type, with the knee and ankle the most frequently injured anatomical sites. Seasonal variation indicated two peaks in injury incidence, occurring in September and January. In comparison to a published audit prior to the inception of the EPPP, this study indicates that academy soccer players are three-times more likely to experience an injury. Given that time loss and injury severity also increased during periods that typically follow rapid growth, these players should be considered an important group for training load monitoring and injury prevention strategies.","container-title":"Journal of Sports Sciences","DOI":"10.1080/02640414.2017.1402535","ISSN":"0264-0414, 1466-447X","issue":"13","journalAbbreviation":"Journal of Sports Sciences","language":"en","page":"1542-1548","source":"DOI.org (Crossref)","title":"An audit of injuries in six english professional soccer academies","volume":"36","author":[{"family":"Read","given":"Paul"},{"family":"Oliver","given":"Jon L."},{"family":"De Ste Croix","given":"Mark B.A."},{"family":"Myer","given":"Gregory"},{"family":"Lloyd","given":"Rhodri S."}],"issued":{"date-parts":[["2018",7,3]]}}},{"id":230,"uris":["http://zotero.org/users/6352108/items/JT7LNKFM"],"itemData":{"id":230,"type":"article-journal","abstract":"Objectives: This study investigated anthropometric measures and growth as risk factors for overuse and acute injuries in younger (U10–U12) and older (U13–U15) elite level soccer players. Design: Prospective cohort study.\nMethods: Height, weight, and sitting height were measured at the start and the end of the 2016–2017 competitive season and growth velocities were calculated. Throughout the season, injuries were registered continuously by the (para-)medical staff of the included clubs. We analyzed the injury risk using multilevel Poisson regression models, accounting for club and team clustering.\nResults: Of the included 314 players (11.7 ± 1.7 years of age), 160 players sustained 133 overuse and 163 acute injuries (i.e. 106 injuries in 69 players of the younger group, 190 in 91 players of the older group). In the younger group, risk of overuse injuries was associated with an increase in leg length over the season (incidence rate ratio (IRR) 1.620 [95% CI 1.230–2.117]) and risk of acute injuries with relatively younger age (IRR 1.003 [95% CI 1.000–1.006]). In the older group, a higher leg length was associated with an increased risk of overuse injuries (IRR 1.055 [95% CI 1.011–1.108]), and a higher weight and a lower growth rate with an increased risk of acute injuries (IRR 1.043 [95% CI 1.021–1.067] and 0.903 [95% CI 0.831–0.981], respectively).\nConclusions: Injury risk factors differ by age group and type of injury. The age-speciﬁc anthropometric and growth-related risk factors should be monitored and these risk proﬁles should be considered to manage injury risk effectively.","container-title":"Journal of Science and Medicine in Sport","DOI":"10.1016/j.jsams.2019.10.001","ISSN":"14402440","issue":"3","journalAbbreviation":"Journal of Science and Medicine in Sport","language":"en","page":"246-251","source":"DOI.org (Crossref)","title":"Risk of acute and overuse injuries in youth elite soccer players: Body size and growth matter","title-short":"Risk of acute and overuse injuries in youth elite soccer players","volume":"23","author":[{"family":"Rommers","given":"Nikki"},{"family":"Rössler","given":"Roland"},{"family":"Goossens","given":"Lennert"},{"family":"Vaeyens","given":"Roel"},{"family":"Lenoir","given":"Matthieu"},{"family":"Witvrouw","given":"Erik"},{"family":"D’Hondt","given":"Eva"}],"issued":{"date-parts":[["2020",3]]}}}],"schema":"https://github.com/citation-style-language/schema/raw/master/csl-citation.json"} </w:instrText>
      </w:r>
      <w:r>
        <w:rPr>
          <w:rFonts w:ascii="Times New Roman" w:hAnsi="Times New Roman" w:cs="Times New Roman"/>
          <w:sz w:val="20"/>
          <w:szCs w:val="20"/>
        </w:rPr>
        <w:fldChar w:fldCharType="separate"/>
      </w:r>
      <w:r w:rsidR="00983E02" w:rsidRPr="00983E02">
        <w:rPr>
          <w:rFonts w:ascii="Times New Roman" w:hAnsi="Times New Roman" w:cs="Times New Roman"/>
          <w:sz w:val="20"/>
        </w:rPr>
        <w:t>(Read et al., 2018; Rommers et al., 2020)</w:t>
      </w:r>
      <w:r>
        <w:rPr>
          <w:rFonts w:ascii="Times New Roman" w:hAnsi="Times New Roman" w:cs="Times New Roman"/>
          <w:sz w:val="20"/>
          <w:szCs w:val="20"/>
        </w:rPr>
        <w:fldChar w:fldCharType="end"/>
      </w:r>
      <w:r>
        <w:rPr>
          <w:rFonts w:ascii="Times New Roman" w:hAnsi="Times New Roman" w:cs="Times New Roman"/>
          <w:sz w:val="20"/>
          <w:szCs w:val="20"/>
        </w:rPr>
        <w:t xml:space="preserve">. For example, academies generally divide the on-the-pitch coaching across 2-3 evenings per week plus matches, over 40-weeks of the year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{"citationID":"OAOWLs2Q","properties":{"formattedCitation":"(Premier League, 2011)","plainCitation":"(Premier League, 2011)","noteIndex":0},"citationItems":[{"id":1214,"uris":["http://zotero.org/users/6352108/items/3ISHQ7J6"],"itemData":{"id":1214,"type":"document","publisher":"English Premier League","title":"The Elite Player Performance Plan","author":[{"family":"Premier League","given":""}],"issued":{"date-parts":[["2011"]]}}}],"schema":"https://github.com/citation-style-language/schema/raw/master/csl-citation.json"}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(Premier League, 2011)</w:t>
      </w:r>
      <w:r>
        <w:rPr>
          <w:rFonts w:ascii="Times New Roman" w:hAnsi="Times New Roman" w:cs="Times New Roman"/>
          <w:sz w:val="20"/>
          <w:szCs w:val="20"/>
        </w:rPr>
        <w:fldChar w:fldCharType="end"/>
      </w:r>
      <w:r>
        <w:rPr>
          <w:rFonts w:ascii="Times New Roman" w:hAnsi="Times New Roman" w:cs="Times New Roman"/>
          <w:sz w:val="20"/>
          <w:szCs w:val="20"/>
        </w:rPr>
        <w:t xml:space="preserve">. Mechanistically, this confines recovery time and emphasises the need for appropriate load management </w:t>
      </w:r>
      <w:r w:rsidR="00DD6C54">
        <w:rPr>
          <w:rFonts w:ascii="Times New Roman" w:hAnsi="Times New Roman" w:cs="Times New Roman"/>
          <w:sz w:val="20"/>
          <w:szCs w:val="20"/>
        </w:rPr>
        <w:t>to</w:t>
      </w:r>
      <w:r>
        <w:rPr>
          <w:rFonts w:ascii="Times New Roman" w:hAnsi="Times New Roman" w:cs="Times New Roman"/>
          <w:sz w:val="20"/>
          <w:szCs w:val="20"/>
        </w:rPr>
        <w:t xml:space="preserve"> prevent non-functional overreaching (NFOR). NFOR is defined as a detrimented or stagnated performance (weeks to months) associated with chronic fatigue and has been reported in up to 27% of male academy players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{"citationID":"9aHSUDSA","properties":{"formattedCitation":"(Williams et al., 2017)","plainCitation":"(Williams et al., 2017)","noteIndex":0},"citationItems":[{"id":199,"uris":["http://zotero.org/users/6352108/items/PZ9TTZ5V"],"itemData":{"id":199,"type":"article-journal","abstract":"Purpose: The purpose of this study was to examine the prevalence of non-functional overreaching (NFOR) and overtraining (OT) in elite male and female youth football players.\nMethods: Two-hundred and forty-two youth football players (n = 138 boys and n = 104 girls) aged between 12 and 17 years completed a questionnaire to identify the occurrence of NFOR/OT and associated symptoms.\nResults: No players experienced OT. Significant sex differences for NFOR were found between girls 9% compared to boys 27% (P &lt; 0.05). For players that experienced NFOR, 33% of girls and 60% of boys experienced multiple bouts. Compared to girls, boys completed higher volumes of football training (16.3 ± 4.5 versus 12.7 ± 5.7 h per week, P &lt; 0.05), but training load was not a significant predictor of NFOR for either sex. In both sexes, NFOR was associated with tiredness, a lack of appetite, sore or heavy muscles, feeling in a bad mood, and feeling apathetic.\nConclusion: Male and female elite youth football players engaged in high training volumes and experienced similar NFOR symptoms. However, there is a much higher prevalence of NFOR in boys and in those who have suffered previous bouts of NFOR.","container-title":"Science and Medicine in Football","DOI":"10.1080/24733938.2017.1336282","ISSN":"2473-3938, 2473-4446","issue":"3","journalAbbreviation":"Science and Medicine in Football","language":"en","page":"222-228","source":"DOI.org (Crossref)","title":"Prevalence of non-functional overreaching in elite male and female youth academy football players","volume":"1","author":[{"family":"Williams","given":"Craig"},{"family":"Winsley","given":"Richard J."},{"family":"Pinho","given":"Goncalo"},{"family":"De Ste Croix","given":"Mark B.A."},{"family":"Lloyd","given":"Rhodri S."},{"family":"Oliver","given":"Jon L."}],"issued":{"date-parts":[["2017",9,2]]}}}],"schema":"https://github.com/citation-style-language/schema/raw/master/csl-citation.json"}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(Williams et al., 2017)</w:t>
      </w:r>
      <w:r>
        <w:rPr>
          <w:rFonts w:ascii="Times New Roman" w:hAnsi="Times New Roman" w:cs="Times New Roman"/>
          <w:sz w:val="20"/>
          <w:szCs w:val="20"/>
        </w:rPr>
        <w:fldChar w:fldCharType="end"/>
      </w:r>
      <w:r>
        <w:rPr>
          <w:rFonts w:ascii="Times New Roman" w:hAnsi="Times New Roman" w:cs="Times New Roman"/>
          <w:sz w:val="20"/>
          <w:szCs w:val="20"/>
        </w:rPr>
        <w:t xml:space="preserve"> with symptoms of athletic burnout also being common (25%)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{"citationID":"4wxw3C1b","properties":{"formattedCitation":"(Hill, 2013)","plainCitation":"(Hill, 2013)","noteIndex":0},"citationItems":[{"id":161,"uris":["http://zotero.org/users/6352108/items/BNKRA5E2"],"itemData":{"id":161,"type":"article-journal","abstract":"Research examining the perfectionism-burnout relationship has typically focused on the main effects of single dimensions of perfectionism. The purpose of the current study was to extend this research by examining the interactive effects of dimensions of perfectionism in predicting symptoms of athlete burnout. In doing so, the hypotheses of the recently developed 2 × 2 model of dispositional perfectionism were tested in regards to differences between subtypes of perfectionism. One hundred sixty-seven junior male soccer players were recruited from English professional soccer clubs and completed paper-and-pencil measures of perfectionism and symptoms of athlete burnout. Moderated hierarchical regression provided support for the hypotheses of the 2 × 2 model for some but not all symptoms of burnout. Overall, the findings suggest that the 2 × 2 model may offer a useful framework through which to explain the interactive effects of dimensions of perfectionism on athlete burnout.","container-title":"Journal of Sport and Exercise Psychology","DOI":"10.1123/jsep.35.1.18","ISSN":"0895-2779, 1543-2904","issue":"1","language":"en","page":"18-29","source":"DOI.org (Crossref)","title":"Perfectionism and Burnout in Junior Soccer Players: A Test of the 2 × 2 Model of Dispositional Perfectionism","title-short":"Perfectionism and Burnout in Junior Soccer Players","volume":"35","author":[{"family":"Hill","given":"Andrew"}],"issued":{"date-parts":[["2013",2]]}}}],"schema":"https://github.com/citation-style-language/schema/raw/master/csl-citation.json"}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(Hill, 2013)</w:t>
      </w:r>
      <w:r>
        <w:rPr>
          <w:rFonts w:ascii="Times New Roman" w:hAnsi="Times New Roman" w:cs="Times New Roman"/>
          <w:sz w:val="20"/>
          <w:szCs w:val="20"/>
        </w:rPr>
        <w:fldChar w:fldCharType="end"/>
      </w:r>
      <w:r>
        <w:rPr>
          <w:rFonts w:ascii="Times New Roman" w:hAnsi="Times New Roman" w:cs="Times New Roman"/>
          <w:sz w:val="20"/>
          <w:szCs w:val="20"/>
        </w:rPr>
        <w:t xml:space="preserve">. Additionally, up to 62% of Youth Development Phase (YDP) injuries described as non-contact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{"citationID":"zWtT8PMP","properties":{"formattedCitation":"(Read et al., 2018)","plainCitation":"(Read et al., 2018)","noteIndex":0},"citationItems":[{"id":8,"uris":["http://zotero.org/users/6352108/items/VZ6PQANG"],"itemData":{"id":8,"type":"article-journal","abstract":"Regulations now state that professional academies in the United Kingdom are required to substantially increase the volume of soccer training. This study assessed the current injury occurrence, providing an update to reports published prior to the introduction of the Elite Player Performance Plan (EPPP). 608 soccer players aged 11–18 years from six professional soccer clubs were prospectively monitored, recording injuries during the 2014–2015 season. An injury rate of 1.32 injuries per player/season was indicated with a mean time loss of 21.9 days per injury. The greatest time loss per injury was in the U14s-U15s, and the highest rate of severe injuries in the U15s. Strains and sprains were the most common injury type, with the knee and ankle the most frequently injured anatomical sites. Seasonal variation indicated two peaks in injury incidence, occurring in September and January. In comparison to a published audit prior to the inception of the EPPP, this study indicates that academy soccer players are three-times more likely to experience an injury. Given that time loss and injury severity also increased during periods that typically follow rapid growth, these players should be considered an important group for training load monitoring and injury prevention strategies.","container-title":"Journal of Sports Sciences","DOI":"10.1080/02640414.2017.1402535","ISSN":"0264-0414, 1466-447X","issue":"13","journalAbbreviation":"Journal of Sports Sciences","language":"en","page":"1542-1548","source":"DOI.org (Crossref)","title":"An audit of injuries in six english professional soccer academies","volume":"36","author":[{"family":"Read","given":"Paul"},{"family":"Oliver","given":"Jon L."},{"family":"De Ste Croix","given":"Mark B.A."},{"family":"Myer","given":"Gregory"},{"family":"Lloyd","given":"Rhodri S."}],"issued":{"date-parts":[["2018",7,3]]}}}],"schema":"https://github.com/citation-style-language/schema/raw/master/csl-citation.json"}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(Read et al., 2018)</w:t>
      </w:r>
      <w:r>
        <w:rPr>
          <w:rFonts w:ascii="Times New Roman" w:hAnsi="Times New Roman" w:cs="Times New Roman"/>
          <w:sz w:val="20"/>
          <w:szCs w:val="20"/>
        </w:rPr>
        <w:fldChar w:fldCharType="end"/>
      </w:r>
      <w:r>
        <w:rPr>
          <w:rFonts w:ascii="Times New Roman" w:hAnsi="Times New Roman" w:cs="Times New Roman"/>
          <w:sz w:val="20"/>
          <w:szCs w:val="20"/>
        </w:rPr>
        <w:t>, which may support the notion that inappropriate workloads (i.e., NFOR) during this turbulent period of  development contribute to the observed spike in injury incidence.</w:t>
      </w:r>
    </w:p>
    <w:p w14:paraId="640E6BC8" w14:textId="77777777" w:rsidR="00835C45" w:rsidRDefault="00835C45" w:rsidP="00835C45">
      <w:pPr>
        <w:spacing w:line="480" w:lineRule="auto"/>
        <w:jc w:val="both"/>
        <w:rPr>
          <w:rFonts w:ascii="Times New Roman" w:hAnsi="Times New Roman" w:cs="Times New Roman"/>
          <w:sz w:val="20"/>
          <w:szCs w:val="20"/>
        </w:rPr>
      </w:pPr>
    </w:p>
    <w:p w14:paraId="1849C44E" w14:textId="1F7CCEFC" w:rsidR="00835C45"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Sessional ratings of perceived exertion (sRPE) are a valid and common way to monitor the psycho-physiological perceptions of intensity within soccer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{"citationID":"a1gusj0kvps","properties":{"formattedCitation":"(Fanchini et al., 2016; Salter, De Ste Croix, Hughes, et al., 2020; Wrigley et al., 2012)","plainCitation":"(Fanchini et al., 2016; Salter, De Ste Croix, Hughes, et al., 2020; Wrigley et al., 2012)","noteIndex":0},"citationItems":[{"id":691,"uris":["http://zotero.org/users/6352108/items/FSR8YZZ7"],"itemData":{"id":691,"type":"article-journal","abstract":"Purpose: To examine the construct validity of the session rating perceived exertion (s-RPE) assessed with the Borg CR100 scale to measure training loads in elite soccer and to examine if the CR100 is interchangeable and can provide more-accurate ratings than the CR10 scale. Methods: Two studies were conducted. The validity of the CR100 was determined in 19 elite soccer players (age 28 ± 6 y, height 180 ± 7 cm, body mass 77 ± 6 kg) during training sessions through correlations with the Edwards heart-rate method (study 1). The interchangeability with CR10 was assessed in 78 soccer players (age 19.3 ± 4.1 y, height 178 ± 5.9 cm, body mass 71.4 ± 6.1 kg) through the Bland–Altman method and correlations between change scores in different sessions. To examine whether the CR100 is more finely graded than the CR10, the proportions of responses corresponding to the verbal expressions were calculated (study 2). Results: Individual correlations between the Edwards method and s-RPE were large to very large (.52–.85). The mean difference between the 2 scales was –0.3 ± 0.33 AU (90% CI –0.41 to –0.29) with 95% limits of agreements (0.31 to –0.96 AU). Correlations between scales and between-changes scores were nearly perfect (.95 and .91–.98). Ratings corresponding to the verbal anchors were 49% in CR10 and 26% in CR100. Conclusions: The CR100 is valid for assessing the training load in elite soccer players. It can be used interchangeably with the CR10 and may provide more-precise measures of exercise intensity.","container-title":"International Journal of Sports Physiology and Performance","DOI":"10.1123/ijspp.2015-0273","ISSN":"1555-0265, 1555-0273","issue":"3","language":"en","page":"388-392","source":"DOI.org (Crossref)","title":"Use of the CR100 Scale for Session Rating of Perceived Exertion in Soccer and Its Interchangeability With the CR10","volume":"11","author":[{"family":"Fanchini","given":"Maurizio"},{"family":"Ferraresi","given":"Ivan"},{"family":"Modena","given":"Roberto"},{"family":"Schena","given":"Federico"},{"family":"Coutts","given":"Aaron J."},{"family":"Impellizzeri","given":"Franco M."}],"issued":{"date-parts":[["2016",4]]}}},{"id":4,"uris":["http://zotero.org/users/6352108/items/QQRSMSGI"],"itemData":{"id":4,"type":"article-journal","container-title":"International Journal of Sports Physiology and Performance","journalAbbreviation":"IJSPP","language":"en","page":"28","source":"Zotero","title":"Monitoring practices of training load and biological maturity in UK soccer academies","author":[{"family":"Salter","given":"Jamie"},{"family":"De Ste Croix","given":"Mark B.A."},{"family":"Hughes","given":"Jonathan D."},{"family":"Weston","given":"Matthew"},{"family":"Towlson","given":"Christopher"}],"issued":{"date-parts":[["2020"]]}}},{"id":508,"uris":["http://zotero.org/users/6352108/items/G7ZDSHVK"],"itemData":{"id":508,"type":"article-journal","abstract":"We examined the typical weekly training load experienced by elite junior soccer players during the in-season competitive period. Altogether, eight under-14 (U14), eight under-16 (U16) and eight under-18 (U18) players were monitored over a 2week period during the ﬁrst month of the 2010–11 competitive season. This time period included one competitive match per week. Physiological loading was monitored using heart rate (HR) and ratings of perceived exertion (RPE). Training and match loads were calculated by multiplying the global session RPE and duration (session-RPE). Total weekly training load (training and match) increased with age (U14, 2524 + 128 arbitrary units [AU]; U16, 2919 + 136 AU; U18, 3948 + 222 AU; P 5 0.05). Differences in the daily training load across the training week were also evident in the older age group relative to both U14 and U16. The amount of time engaged in low (550% HRmax) and high (490% HRmax) intensity activity during training and match-play was signiﬁcantly lower and higher respectively in the U18 compared to the U14 group (P 5 0.05). When comparing activity, the intensity (% HRmax) of ﬁeld training (U18, 69 + 2%; U16, 74 + 1%; U14, 74 + 2%) was signiﬁcantly lower compared to match-play (U18, 81 + 3%; U16, 84, + 2%; U14, 83 + 2) across all age groups (P 5 0.05). Findings demonstrate that age related differences in the volume and intensity of weekly in-season training load are evident amongst elite professional junior soccer players. These differences may reﬂect a systematic approach to the long-term physical development of elite junior players.","container-title":"Journal of Sports Sciences","DOI":"10.1080/02640414.2012.709265","ISSN":"0264-0414, 1466-447X","issue":"15","journalAbbreviation":"Journal of Sports Sciences","language":"en","page":"1573-1580","source":"DOI.org (Crossref)","title":"Quantification of the typical weekly in-season training load in elite junior soccer players","volume":"30","author":[{"family":"Wrigley","given":"Russell"},{"family":"Drust","given":"Barry"},{"family":"Stratton","given":"Gareth"},{"family":"Scott","given":"Mark"},{"family":"Gregson","given":"Warren"}],"issued":{"date-parts":[["2012",11]]}}}],"schema":"https://github.com/citation-style-language/schema/raw/master/csl-citation.json"} </w:instrText>
      </w:r>
      <w:r>
        <w:rPr>
          <w:rFonts w:ascii="Times New Roman" w:hAnsi="Times New Roman" w:cs="Times New Roman"/>
          <w:sz w:val="20"/>
          <w:szCs w:val="20"/>
        </w:rPr>
        <w:fldChar w:fldCharType="separate"/>
      </w:r>
      <w:r w:rsidR="00983E02" w:rsidRPr="00983E02">
        <w:rPr>
          <w:rFonts w:ascii="Times New Roman" w:hAnsi="Times New Roman" w:cs="Times New Roman"/>
          <w:sz w:val="20"/>
        </w:rPr>
        <w:t>(Fanchini et al., 2016; Salter, De Ste Croix, Hughes, et al., 2020; Wrigley et al., 2012)</w:t>
      </w:r>
      <w:r>
        <w:rPr>
          <w:rFonts w:ascii="Times New Roman" w:hAnsi="Times New Roman" w:cs="Times New Roman"/>
          <w:sz w:val="20"/>
          <w:szCs w:val="20"/>
        </w:rPr>
        <w:fldChar w:fldCharType="end"/>
      </w:r>
      <w:r w:rsidRPr="001A5DF5">
        <w:rPr>
          <w:rFonts w:ascii="Times New Roman" w:hAnsi="Times New Roman" w:cs="Times New Roman"/>
          <w:sz w:val="20"/>
          <w:szCs w:val="20"/>
          <w:lang w:val="nl-NL"/>
        </w:rPr>
        <w:t xml:space="preserve">. </w:t>
      </w:r>
      <w:r w:rsidR="00DD6C54">
        <w:rPr>
          <w:rFonts w:ascii="Times New Roman" w:hAnsi="Times New Roman" w:cs="Times New Roman"/>
          <w:sz w:val="20"/>
          <w:szCs w:val="20"/>
        </w:rPr>
        <w:t>This</w:t>
      </w:r>
      <w:r>
        <w:rPr>
          <w:rFonts w:ascii="Times New Roman" w:hAnsi="Times New Roman" w:cs="Times New Roman"/>
          <w:sz w:val="20"/>
          <w:szCs w:val="20"/>
        </w:rPr>
        <w:t xml:space="preserve"> has been modified to </w:t>
      </w:r>
      <w:r w:rsidR="00DD6C54">
        <w:rPr>
          <w:rFonts w:ascii="Times New Roman" w:hAnsi="Times New Roman" w:cs="Times New Roman"/>
          <w:sz w:val="20"/>
          <w:szCs w:val="20"/>
        </w:rPr>
        <w:t>discriminate</w:t>
      </w:r>
      <w:r>
        <w:rPr>
          <w:rFonts w:ascii="Times New Roman" w:hAnsi="Times New Roman" w:cs="Times New Roman"/>
          <w:sz w:val="20"/>
          <w:szCs w:val="20"/>
        </w:rPr>
        <w:t xml:space="preserve"> specific psycho-physiological mediators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{"citationID":"af1ntsoj6v","properties":{"formattedCitation":"(Wright et al., 2020)","plainCitation":"(Wright et al., 2020)","noteIndex":0},"citationItems":[{"id":1569,"uris":["http://zotero.org/users/6352108/items/I6FYNHZ9"],"itemData":{"id":1569,"type":"article-journal","abstract":"&lt;section class=\"abstract\"&gt;&lt;p&gt;&lt;em&gt;&lt;strong&gt;Purpose&lt;/strong&gt;:&lt;/em&gt; To understand the validity of differential ratings of perceived exertion (dRPE) as a measure of girls’ training and match internal loads. &lt;em&gt;&lt;strong&gt;Methods&lt;/strong&gt;:&lt;/em&gt; Using the centiMax scale (CR100), session dRPE for breathlessness (sRPE-B) and leg muscle exertion (sRPE-L) were collected across a season of training (soccer, resistance, and fitness) and matches from 33 players (15 [1] y). Differences and associations between dRPE were examined using mixed and general linear models. The authors’ minimal practical important difference was 8 arbitrary units (AU). &lt;em&gt;&lt;strong&gt;Results&lt;/strong&gt;:&lt;/em&gt; Mean (AU [SD] </w:instrText>
      </w:r>
      <w:r w:rsidR="00DF0C2E">
        <w:rPr>
          <w:rFonts w:ascii="Cambria Math" w:hAnsi="Cambria Math" w:cs="Cambria Math"/>
          <w:sz w:val="20"/>
          <w:szCs w:val="20"/>
        </w:rPr>
        <w:instrText>∼</w:instrText>
      </w:r>
      <w:r w:rsidR="00DF0C2E">
        <w:rPr>
          <w:rFonts w:ascii="Times New Roman" w:hAnsi="Times New Roman" w:cs="Times New Roman"/>
          <w:sz w:val="20"/>
          <w:szCs w:val="20"/>
        </w:rPr>
        <w:instrText xml:space="preserve">16) sRPE-B and sRPE-L were 66 and 61 for matches, 51 and 49 for soccer, 86 and 67 for fitness, and 45 and 58 for resistance, respectively. Session RPE-B was rated most likely harder than sRPE-L for fitness (19 AU; 90% confidence limits: ±7) and most likely easier for resistance (−13; ±2). Match (5; ±4) and soccer (−3; ±2) differences were likely to most likely trivial. The within-player relationships between sRPE-B and sRPE-L were very likely moderate for matches (&lt;em&gt;r&lt;/em&gt; = .44; 90% confidence limits: ±.12) and resistance training (.38; ±.06), likely large for fitness training (.51; ±.22), and most likely large for soccer training (.56; ±.03). Shared variance ranged from 14% to 35%. &lt;em&gt;&lt;strong&gt;Conclusions&lt;/strong&gt;:&lt;/em&gt; Practically meaningful differences between dRPE following physical training sessions coupled with low shared variance in all training types and matches suggest that sRPE-B and sRPE-L represent unique sensory inputs in girls’ soccer players. The data provide evidence for the face and construct validity of dRPE as a measure of internal load in this population.&lt;/p&gt;&lt;/section&gt;","container-title":"International Journal of Sports Physiology and Performance","DOI":"10.1123/ijspp.2019-0595","ISSN":"1555-0273, 1555-0265","issue":"aop","language":"en_US","note":"publisher: Human Kinetics\nsection: International Journal of Sports Physiology and Performance","page":"1-9","source":"journals-humankinetics-com.yorksj.idm.oclc.org","title":"Differential Ratings of Perceived Match and Training Exertion in Girls’ Soccer","volume":"-1","author":[{"family":"Wright","given":"Matthew"},{"family":"Songane","given":"Francisco"},{"family":"Emmonds","given":"Stacey"},{"family":"Chesterton","given":"Paul"},{"family":"Weston","given":"Matthew"},{"family":"Mclaren","given":"Shaun J."}],"issued":{"date-parts":[["2020",9,18]]}}}],"schema":"https://github.com/citation-style-language/schema/raw/master/csl-citation.json"} </w:instrText>
      </w:r>
      <w:r>
        <w:rPr>
          <w:rFonts w:ascii="Times New Roman" w:hAnsi="Times New Roman" w:cs="Times New Roman"/>
          <w:sz w:val="20"/>
          <w:szCs w:val="20"/>
        </w:rPr>
        <w:fldChar w:fldCharType="separate"/>
      </w:r>
      <w:r w:rsidR="00AA1E68">
        <w:rPr>
          <w:rFonts w:ascii="Times New Roman" w:hAnsi="Times New Roman" w:cs="Times New Roman"/>
          <w:sz w:val="20"/>
        </w:rPr>
        <w:t>(Wright et al., 2020)</w:t>
      </w:r>
      <w:r>
        <w:rPr>
          <w:rFonts w:ascii="Times New Roman" w:hAnsi="Times New Roman" w:cs="Times New Roman"/>
          <w:sz w:val="20"/>
          <w:szCs w:val="20"/>
        </w:rPr>
        <w:fldChar w:fldCharType="end"/>
      </w:r>
      <w:r>
        <w:rPr>
          <w:rFonts w:ascii="Times New Roman" w:hAnsi="Times New Roman" w:cs="Times New Roman"/>
          <w:sz w:val="20"/>
          <w:szCs w:val="20"/>
        </w:rPr>
        <w:t xml:space="preserve"> in the form of differential RPE (d-RPE). These differentiated ratings of perceived exertion </w:t>
      </w:r>
      <w:r w:rsidR="00DD6C54">
        <w:rPr>
          <w:rFonts w:ascii="Times New Roman" w:hAnsi="Times New Roman" w:cs="Times New Roman"/>
          <w:sz w:val="20"/>
          <w:szCs w:val="20"/>
        </w:rPr>
        <w:t>may</w:t>
      </w:r>
      <w:r>
        <w:rPr>
          <w:rFonts w:ascii="Times New Roman" w:hAnsi="Times New Roman" w:cs="Times New Roman"/>
          <w:sz w:val="20"/>
          <w:szCs w:val="20"/>
        </w:rPr>
        <w:t xml:space="preserve"> distinguish between physiological and mechanical load adaptation pathways and provide insight into the individual response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{"citationID":"1ZlQVnq7","properties":{"formattedCitation":"(Vanrenterghem et al., 2017)","plainCitation":"(Vanrenterghem et al., 2017)","noteIndex":0},"citationItems":[{"id":649,"uris":["http://zotero.org/users/6352108/items/37DI6F44"],"itemData":{"id":649,"type":"article-journal","abstract":"There have been considerable advances in monitoring training load in running-based team sports in recent years. Novel technologies nowadays offer ample opportunities to continuously monitor the activities of a player. These activities lead to internal biochemical stresses on the various physiological subsystems; however, they also cause internal mechanical stresses on the various musculoskeletal tissues. Based on the amount and periodization of these stresses, the subsystems and tissues adapt. Therefore, by monitoring external loads, one hopes to estimate internal loads to predict adaptation, through understanding the load-adaptation pathways. We propose a new theoretical framework in which physiological and biomechanical load-adaptation pathways are considered separately, shedding new light on some of the previously published evidence. We hope that it can help the various practitioners in this ﬁeld (trainers, coaches, medical staff, sport scientists) to align their thoughts when considering the value of monitoring load, and that it can help researchers design experiments that can better rationalize training-load monitoring for improving performance while preventing injury.","container-title":"Sports Medicine","DOI":"10.1007/s40279-017-0714-2","ISSN":"0112-1642, 1179-2035","issue":"11","journalAbbreviation":"Sports Med","language":"en","page":"2135-2142","source":"DOI.org (Crossref)","title":"Training Load Monitoring in Team Sports: A Novel Framework Separating Physiological and Biomechanical Load-Adaptation Pathways","title-short":"Training Load Monitoring in Team Sports","volume":"47","author":[{"family":"Vanrenterghem","given":"Jos"},{"family":"Nedergaard","given":"Niels Jensby"},{"family":"Robinson","given":"Mark A."},{"family":"Drust","given":"Barry"}],"issued":{"date-parts":[["2017",11]]}}}],"schema":"https://github.com/citation-style-language/schema/raw/master/csl-citation.json"}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(Vanrenterghem et al., 2017)</w:t>
      </w:r>
      <w:r>
        <w:rPr>
          <w:rFonts w:ascii="Times New Roman" w:hAnsi="Times New Roman" w:cs="Times New Roman"/>
          <w:sz w:val="20"/>
          <w:szCs w:val="20"/>
        </w:rPr>
        <w:fldChar w:fldCharType="end"/>
      </w:r>
      <w:r>
        <w:rPr>
          <w:rFonts w:ascii="Times New Roman" w:hAnsi="Times New Roman" w:cs="Times New Roman"/>
          <w:sz w:val="20"/>
          <w:szCs w:val="20"/>
        </w:rPr>
        <w:t xml:space="preserve">. In addition to self-reported indicators of load, markers of physical performance routinely collected </w:t>
      </w:r>
      <w:r w:rsidR="00DD6C54">
        <w:rPr>
          <w:rFonts w:ascii="Times New Roman" w:hAnsi="Times New Roman" w:cs="Times New Roman"/>
          <w:sz w:val="20"/>
          <w:szCs w:val="20"/>
        </w:rPr>
        <w:t xml:space="preserve">(e.g., countermovement jump) </w:t>
      </w:r>
      <w:r>
        <w:rPr>
          <w:rFonts w:ascii="Times New Roman" w:hAnsi="Times New Roman" w:cs="Times New Roman"/>
          <w:sz w:val="20"/>
          <w:szCs w:val="20"/>
        </w:rPr>
        <w:t xml:space="preserve">offer valuable insight into how </w:t>
      </w:r>
      <w:r w:rsidR="00DD6C54">
        <w:rPr>
          <w:rFonts w:ascii="Times New Roman" w:hAnsi="Times New Roman" w:cs="Times New Roman"/>
          <w:sz w:val="20"/>
          <w:szCs w:val="20"/>
        </w:rPr>
        <w:t>players are</w:t>
      </w:r>
      <w:r>
        <w:rPr>
          <w:rFonts w:ascii="Times New Roman" w:hAnsi="Times New Roman" w:cs="Times New Roman"/>
          <w:sz w:val="20"/>
          <w:szCs w:val="20"/>
        </w:rPr>
        <w:t xml:space="preserve"> coping with training loads. Therefore, combining subjective</w:t>
      </w:r>
      <w:r w:rsidR="00DD6C54">
        <w:rPr>
          <w:rFonts w:ascii="Times New Roman" w:hAnsi="Times New Roman" w:cs="Times New Roman"/>
          <w:sz w:val="20"/>
          <w:szCs w:val="20"/>
        </w:rPr>
        <w:t xml:space="preserve"> </w:t>
      </w:r>
      <w:r>
        <w:rPr>
          <w:rFonts w:ascii="Times New Roman" w:hAnsi="Times New Roman" w:cs="Times New Roman"/>
          <w:sz w:val="20"/>
          <w:szCs w:val="20"/>
        </w:rPr>
        <w:t>and objective markers can offer a robust mechanism through which help to identify within-participant variations in load-adaptation over time.</w:t>
      </w:r>
    </w:p>
    <w:p w14:paraId="60FCA659" w14:textId="77777777" w:rsidR="00835C45" w:rsidRDefault="00835C45" w:rsidP="00835C45">
      <w:pPr>
        <w:spacing w:line="480" w:lineRule="auto"/>
        <w:jc w:val="both"/>
        <w:rPr>
          <w:rFonts w:ascii="Times New Roman" w:hAnsi="Times New Roman" w:cs="Times New Roman"/>
          <w:sz w:val="20"/>
          <w:szCs w:val="20"/>
        </w:rPr>
      </w:pPr>
    </w:p>
    <w:p w14:paraId="57867F25" w14:textId="308E1444" w:rsidR="00835C45"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The relative paucity of evidence surrounding the role of maturation and the responses to load provide an important rationale for this </w:t>
      </w:r>
      <w:r w:rsidR="002D3532" w:rsidRPr="00A2361E">
        <w:rPr>
          <w:rFonts w:ascii="Times New Roman" w:hAnsi="Times New Roman" w:cs="Times New Roman"/>
          <w:color w:val="000000" w:themeColor="text1"/>
          <w:sz w:val="20"/>
          <w:szCs w:val="20"/>
        </w:rPr>
        <w:t xml:space="preserve">longitudinal </w:t>
      </w:r>
      <w:r w:rsidRPr="00A2361E">
        <w:rPr>
          <w:rFonts w:ascii="Times New Roman" w:hAnsi="Times New Roman" w:cs="Times New Roman"/>
          <w:color w:val="000000" w:themeColor="text1"/>
          <w:sz w:val="20"/>
          <w:szCs w:val="20"/>
        </w:rPr>
        <w:t xml:space="preserve">study. It is anticipated that players of different maturity status will respond the training </w:t>
      </w:r>
      <w:r w:rsidRPr="00A2361E">
        <w:rPr>
          <w:rFonts w:ascii="Times New Roman" w:hAnsi="Times New Roman" w:cs="Times New Roman"/>
          <w:color w:val="000000" w:themeColor="text1"/>
          <w:sz w:val="20"/>
          <w:szCs w:val="20"/>
        </w:rPr>
        <w:lastRenderedPageBreak/>
        <w:t>intensity differently</w:t>
      </w:r>
      <w:r w:rsidR="002D3532" w:rsidRPr="00A2361E">
        <w:rPr>
          <w:rFonts w:ascii="Times New Roman" w:hAnsi="Times New Roman" w:cs="Times New Roman"/>
          <w:color w:val="000000" w:themeColor="text1"/>
          <w:sz w:val="20"/>
          <w:szCs w:val="20"/>
        </w:rPr>
        <w:t xml:space="preserve"> (e.g., less mature players will have a heightened dose-response)</w:t>
      </w:r>
      <w:r w:rsidRPr="00A2361E">
        <w:rPr>
          <w:rFonts w:ascii="Times New Roman" w:hAnsi="Times New Roman" w:cs="Times New Roman"/>
          <w:color w:val="000000" w:themeColor="text1"/>
          <w:sz w:val="20"/>
          <w:szCs w:val="20"/>
        </w:rPr>
        <w:t xml:space="preserve"> and that their neuromuscular performance </w:t>
      </w:r>
      <w:r w:rsidR="002D3532" w:rsidRPr="00A2361E">
        <w:rPr>
          <w:rFonts w:ascii="Times New Roman" w:hAnsi="Times New Roman" w:cs="Times New Roman"/>
          <w:color w:val="000000" w:themeColor="text1"/>
          <w:sz w:val="20"/>
          <w:szCs w:val="20"/>
        </w:rPr>
        <w:t xml:space="preserve">changes </w:t>
      </w:r>
      <w:r w:rsidRPr="00A2361E">
        <w:rPr>
          <w:rFonts w:ascii="Times New Roman" w:hAnsi="Times New Roman" w:cs="Times New Roman"/>
          <w:color w:val="000000" w:themeColor="text1"/>
          <w:sz w:val="20"/>
          <w:szCs w:val="20"/>
        </w:rPr>
        <w:t xml:space="preserve">over the course of the season may be </w:t>
      </w:r>
      <w:r w:rsidR="002D3532" w:rsidRPr="00A2361E">
        <w:rPr>
          <w:rFonts w:ascii="Times New Roman" w:hAnsi="Times New Roman" w:cs="Times New Roman"/>
          <w:color w:val="000000" w:themeColor="text1"/>
          <w:sz w:val="20"/>
          <w:szCs w:val="20"/>
        </w:rPr>
        <w:t>maturity-specific</w:t>
      </w:r>
      <w:r w:rsidRPr="00A2361E">
        <w:rPr>
          <w:rFonts w:ascii="Times New Roman" w:hAnsi="Times New Roman" w:cs="Times New Roman"/>
          <w:color w:val="000000" w:themeColor="text1"/>
          <w:sz w:val="20"/>
          <w:szCs w:val="20"/>
        </w:rPr>
        <w:t xml:space="preserve">. </w:t>
      </w:r>
    </w:p>
    <w:p w14:paraId="5DC88DF9" w14:textId="77777777" w:rsidR="00835C45" w:rsidRPr="00F22FDF" w:rsidRDefault="00835C45" w:rsidP="00835C45">
      <w:pPr>
        <w:spacing w:line="480" w:lineRule="auto"/>
        <w:rPr>
          <w:rFonts w:ascii="Times New Roman" w:hAnsi="Times New Roman" w:cs="Times New Roman"/>
          <w:b/>
          <w:bCs/>
          <w:sz w:val="20"/>
          <w:szCs w:val="20"/>
        </w:rPr>
      </w:pPr>
    </w:p>
    <w:p w14:paraId="71FB79FF" w14:textId="77777777" w:rsidR="00835C45" w:rsidRDefault="00835C45" w:rsidP="00835C45">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Materials and </w:t>
      </w:r>
      <w:r w:rsidRPr="00F22FDF">
        <w:rPr>
          <w:rFonts w:ascii="Times New Roman" w:hAnsi="Times New Roman" w:cs="Times New Roman"/>
          <w:b/>
          <w:bCs/>
          <w:sz w:val="20"/>
          <w:szCs w:val="20"/>
        </w:rPr>
        <w:t>Methods</w:t>
      </w:r>
    </w:p>
    <w:p w14:paraId="57842518" w14:textId="77777777" w:rsidR="00835C45" w:rsidRDefault="00835C45" w:rsidP="00835C45">
      <w:pPr>
        <w:spacing w:line="480" w:lineRule="auto"/>
        <w:rPr>
          <w:rFonts w:ascii="Times New Roman" w:hAnsi="Times New Roman" w:cs="Times New Roman"/>
          <w:i/>
          <w:iCs/>
          <w:sz w:val="20"/>
          <w:szCs w:val="20"/>
        </w:rPr>
      </w:pPr>
      <w:r>
        <w:rPr>
          <w:rFonts w:ascii="Times New Roman" w:hAnsi="Times New Roman" w:cs="Times New Roman"/>
          <w:i/>
          <w:iCs/>
          <w:sz w:val="20"/>
          <w:szCs w:val="20"/>
        </w:rPr>
        <w:t>Participants</w:t>
      </w:r>
    </w:p>
    <w:p w14:paraId="038FF47F" w14:textId="5C84CECD" w:rsidR="00835C45" w:rsidRPr="0047252C"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Fifty-five male soccer players (age 14.5 ± 1.2 years; stature 172 ± 10 cm; body mass 59.8 ± 10 kg) from an EPPP</w:t>
      </w:r>
      <w:r w:rsidR="00D22DF7">
        <w:rPr>
          <w:rFonts w:ascii="Times New Roman" w:hAnsi="Times New Roman" w:cs="Times New Roman"/>
          <w:sz w:val="20"/>
          <w:szCs w:val="20"/>
        </w:rPr>
        <w:t xml:space="preserve"> </w:t>
      </w:r>
      <w:r>
        <w:rPr>
          <w:rFonts w:ascii="Times New Roman" w:hAnsi="Times New Roman" w:cs="Times New Roman"/>
          <w:sz w:val="20"/>
          <w:szCs w:val="20"/>
        </w:rPr>
        <w:t>academy participated in this study during the 2018-19 season. Typically, players were required to attend three scheduled 90-minute training sessions and one competitive match</w:t>
      </w:r>
      <w:r w:rsidRPr="0047252C">
        <w:rPr>
          <w:rFonts w:ascii="Times New Roman" w:hAnsi="Times New Roman" w:cs="Times New Roman"/>
          <w:sz w:val="20"/>
          <w:szCs w:val="20"/>
        </w:rPr>
        <w:t xml:space="preserve"> </w:t>
      </w:r>
      <w:r>
        <w:rPr>
          <w:rFonts w:ascii="Times New Roman" w:hAnsi="Times New Roman" w:cs="Times New Roman"/>
          <w:sz w:val="20"/>
          <w:szCs w:val="20"/>
        </w:rPr>
        <w:t>each week. To maintain data fidelity</w:t>
      </w:r>
      <w:r w:rsidR="002D3532">
        <w:rPr>
          <w:rFonts w:ascii="Times New Roman" w:hAnsi="Times New Roman" w:cs="Times New Roman"/>
          <w:sz w:val="20"/>
          <w:szCs w:val="20"/>
        </w:rPr>
        <w:t xml:space="preserve"> but maintain statistical power</w:t>
      </w:r>
      <w:r>
        <w:rPr>
          <w:rFonts w:ascii="Times New Roman" w:hAnsi="Times New Roman" w:cs="Times New Roman"/>
          <w:sz w:val="20"/>
          <w:szCs w:val="20"/>
        </w:rPr>
        <w:t>, participants were excluded if they failed to provide self-reported perception of intensity for &gt;75% of training sessions, which may be a result of injury/illness, poor adoption, exams, travel constraints or de-selection from th</w:t>
      </w:r>
      <w:r w:rsidRPr="00A2361E">
        <w:rPr>
          <w:rFonts w:ascii="Times New Roman" w:hAnsi="Times New Roman" w:cs="Times New Roman"/>
          <w:color w:val="000000" w:themeColor="text1"/>
          <w:sz w:val="20"/>
          <w:szCs w:val="20"/>
        </w:rPr>
        <w:t>e academy</w:t>
      </w:r>
      <w:r w:rsidR="002D3532" w:rsidRPr="00A2361E">
        <w:rPr>
          <w:rFonts w:ascii="Times New Roman" w:hAnsi="Times New Roman" w:cs="Times New Roman"/>
          <w:color w:val="000000" w:themeColor="text1"/>
          <w:sz w:val="20"/>
          <w:szCs w:val="20"/>
        </w:rPr>
        <w:t xml:space="preserve">. </w:t>
      </w:r>
      <w:r w:rsidRPr="00A2361E">
        <w:rPr>
          <w:rFonts w:ascii="Times New Roman" w:hAnsi="Times New Roman" w:cs="Times New Roman"/>
          <w:color w:val="000000" w:themeColor="text1"/>
          <w:sz w:val="20"/>
          <w:szCs w:val="20"/>
        </w:rPr>
        <w:t xml:space="preserve">By utilising a 75% threshold, data would be comprised of a minimum </w:t>
      </w:r>
      <w:r w:rsidR="00DD6C54" w:rsidRPr="00A2361E">
        <w:rPr>
          <w:rFonts w:ascii="Times New Roman" w:hAnsi="Times New Roman" w:cs="Times New Roman"/>
          <w:color w:val="000000" w:themeColor="text1"/>
          <w:sz w:val="20"/>
          <w:szCs w:val="20"/>
        </w:rPr>
        <w:t>of 90</w:t>
      </w:r>
      <w:r w:rsidRPr="00A2361E">
        <w:rPr>
          <w:rFonts w:ascii="Times New Roman" w:hAnsi="Times New Roman" w:cs="Times New Roman"/>
          <w:color w:val="000000" w:themeColor="text1"/>
          <w:sz w:val="20"/>
          <w:szCs w:val="20"/>
        </w:rPr>
        <w:t xml:space="preserve"> training sessions per participant</w:t>
      </w:r>
      <w:r w:rsidR="002D3532" w:rsidRPr="00A2361E">
        <w:rPr>
          <w:rFonts w:ascii="Times New Roman" w:hAnsi="Times New Roman" w:cs="Times New Roman"/>
          <w:color w:val="000000" w:themeColor="text1"/>
          <w:sz w:val="20"/>
          <w:szCs w:val="20"/>
        </w:rPr>
        <w:t xml:space="preserve"> which was deemed sufficient to conduct the planned statistical analysis whilst maximising the sample pool</w:t>
      </w:r>
      <w:r w:rsidRPr="00A2361E">
        <w:rPr>
          <w:rFonts w:ascii="Times New Roman" w:hAnsi="Times New Roman" w:cs="Times New Roman"/>
          <w:color w:val="000000" w:themeColor="text1"/>
          <w:sz w:val="20"/>
          <w:szCs w:val="20"/>
        </w:rPr>
        <w:t xml:space="preserve">. Due </w:t>
      </w:r>
      <w:r>
        <w:rPr>
          <w:rFonts w:ascii="Times New Roman" w:hAnsi="Times New Roman" w:cs="Times New Roman"/>
          <w:sz w:val="20"/>
          <w:szCs w:val="20"/>
        </w:rPr>
        <w:t xml:space="preserve">to the position specific nuances and the likely variations in load this study excluded goalkeepers. Ethical approval in line with the declaration of Helsinki was sought and granted from the University </w:t>
      </w:r>
      <w:r w:rsidR="00DD6C54">
        <w:rPr>
          <w:rFonts w:ascii="Times New Roman" w:hAnsi="Times New Roman" w:cs="Times New Roman"/>
          <w:sz w:val="20"/>
          <w:szCs w:val="20"/>
        </w:rPr>
        <w:t xml:space="preserve">of Gloucestershire </w:t>
      </w:r>
      <w:r>
        <w:rPr>
          <w:rFonts w:ascii="Times New Roman" w:hAnsi="Times New Roman" w:cs="Times New Roman"/>
          <w:sz w:val="20"/>
          <w:szCs w:val="20"/>
        </w:rPr>
        <w:t xml:space="preserve">ethics committee. </w:t>
      </w:r>
    </w:p>
    <w:p w14:paraId="44A35965" w14:textId="77777777" w:rsidR="00835C45" w:rsidRDefault="00835C45" w:rsidP="00835C45">
      <w:pPr>
        <w:spacing w:line="480" w:lineRule="auto"/>
        <w:rPr>
          <w:rFonts w:ascii="Times New Roman" w:hAnsi="Times New Roman" w:cs="Times New Roman"/>
          <w:i/>
          <w:iCs/>
          <w:sz w:val="20"/>
          <w:szCs w:val="20"/>
        </w:rPr>
      </w:pPr>
    </w:p>
    <w:p w14:paraId="49A94671" w14:textId="77777777" w:rsidR="00835C45" w:rsidRDefault="00835C45" w:rsidP="00835C45">
      <w:pPr>
        <w:spacing w:line="480" w:lineRule="auto"/>
        <w:rPr>
          <w:rFonts w:ascii="Times New Roman" w:hAnsi="Times New Roman" w:cs="Times New Roman"/>
          <w:i/>
          <w:iCs/>
          <w:sz w:val="20"/>
          <w:szCs w:val="20"/>
        </w:rPr>
      </w:pPr>
      <w:r>
        <w:rPr>
          <w:rFonts w:ascii="Times New Roman" w:hAnsi="Times New Roman" w:cs="Times New Roman"/>
          <w:i/>
          <w:iCs/>
          <w:sz w:val="20"/>
          <w:szCs w:val="20"/>
        </w:rPr>
        <w:t>Protocol</w:t>
      </w:r>
    </w:p>
    <w:p w14:paraId="7E003337" w14:textId="2DE4A23E" w:rsidR="00835C45"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Maturity</w:t>
      </w:r>
      <w:r w:rsidRPr="00077240">
        <w:rPr>
          <w:rFonts w:ascii="Times New Roman" w:hAnsi="Times New Roman" w:cs="Times New Roman"/>
          <w:sz w:val="20"/>
          <w:szCs w:val="20"/>
        </w:rPr>
        <w:t xml:space="preserve"> </w:t>
      </w:r>
      <w:r>
        <w:rPr>
          <w:rFonts w:ascii="Times New Roman" w:hAnsi="Times New Roman" w:cs="Times New Roman"/>
          <w:sz w:val="20"/>
          <w:szCs w:val="20"/>
        </w:rPr>
        <w:t xml:space="preserve">status </w:t>
      </w:r>
      <w:r w:rsidRPr="00077240">
        <w:rPr>
          <w:rFonts w:ascii="Times New Roman" w:hAnsi="Times New Roman" w:cs="Times New Roman"/>
          <w:sz w:val="20"/>
          <w:szCs w:val="20"/>
        </w:rPr>
        <w:t xml:space="preserve">was expressed as a </w:t>
      </w:r>
      <w:r>
        <w:rPr>
          <w:rFonts w:ascii="Times New Roman" w:hAnsi="Times New Roman" w:cs="Times New Roman"/>
          <w:sz w:val="20"/>
          <w:szCs w:val="20"/>
        </w:rPr>
        <w:t>current percentage of predicted adult height (PAH%)</w:t>
      </w:r>
      <w:r w:rsidRPr="00077240">
        <w:rPr>
          <w:rFonts w:ascii="Times New Roman" w:hAnsi="Times New Roman" w:cs="Times New Roman"/>
          <w:sz w:val="20"/>
          <w:szCs w:val="20"/>
        </w:rPr>
        <w:t xml:space="preserve"> determined by measurement of somatic markers </w:t>
      </w:r>
      <w:r>
        <w:rPr>
          <w:rFonts w:ascii="Times New Roman" w:hAnsi="Times New Roman" w:cs="Times New Roman"/>
          <w:sz w:val="20"/>
          <w:szCs w:val="20"/>
        </w:rPr>
        <w:t>(stature and body mass) combined with self-reported parental stature adjusted for overestimation</w:t>
      </w:r>
      <w:r w:rsidRPr="00077240">
        <w:rPr>
          <w:rFonts w:ascii="Times New Roman" w:hAnsi="Times New Roman" w:cs="Times New Roman"/>
          <w:sz w:val="20"/>
          <w:szCs w:val="20"/>
        </w:rPr>
        <w:t xml:space="preserve"> </w:t>
      </w:r>
      <w:r w:rsidRPr="00077240">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{"citationID":"xmOhBr7W","properties":{"formattedCitation":"(Epstein et al., 1995; Khamis &amp; Roche, 1994)","plainCitation":"(Epstein et al., 1995; Khamis &amp; Roche, 1994)","noteIndex":0},"citationItems":[{"id":777,"uris":["http://zotero.org/users/6352108/items/D6ITMRY7"],"itemData":{"id":777,"type":"article-journal","abstract":"EPSTEIN, LEONARD H, ALICE M VALOSKI, MELISSA A KALARCHIAN AND JAMES MCCURLEY. Do children lose and maintain weight easier than adults: a comparison of child and parent weight changes from six months to ten years. Obes Res. 1995;3:411-417.","container-title":"Obesity Research","DOI":"10.1002/j.1550-8528.1995.tb00170.x","ISSN":"10717323","issue":"5","language":"en","page":"411-417","source":"DOI.org (Crossref)","title":"Do Children Lose and Maintain Weight Easier Than Adults: A Comparison of Child and Parent Weight Changes From Six Months to Ten Years","title-short":"Do Children Lose and Maintain Weight Easier Than Adults","volume":"3","author":[{"family":"Epstein","given":"Leonard H."},{"family":"Valoski","given":"Alice M."},{"family":"Kalarchian","given":"Melissa A."},{"family":"McCurley","given":"James"}],"issued":{"date-parts":[["1995",9]]}}},{"id":1314,"uris":["http://zotero.org/users/6352108/items/KGMW5DNU"],"itemData":{"id":1314,"type":"article-journal","abstract":"Study objective. To obtain reliable and accurate predictions of adult stature in white American children who are free of disease without using skeletal age.\nDesign. Apply a modification of the Roche-Wainer-Thissen stature prediction model to a sample of white American children.\nSetting. Longitudinal data (every 6 months) from participants in the Fels Longitudinal Study were used for the development of the stature prediction model.\nParticipants. Residents of Southwest Ohio, 223 white males and 210 white females, at the time of their enrollment into the Fels Longitudinal Study.\nMeasurements and results. The errors of the proposed method, which does not use skeletal age as a predictor variable, are only slightly larger than those for the Roche-Wainer-Thissen method which uses skeletal age as a predictor variable.\nConclusions. Adult stature predictions are needed commonly but the current methods are difficult to apply because they require a skeletal age assessed by a modern method. The Khamis-Roche method predicts adult stature in the absence of skeletal age with only a slight deterioration in accuracy and reliability. The applicability of the Khamis-Roche method is limited to white American children without pathologic conditions that alter the potential for growth in stature, but it should be useful for white children who are unusual in stature or in levels of maturity for age.","container-title":"Pediatrics","ISSN":"0031-4005, 1098-4275","issue":"4","language":"en","note":"publisher: American Academy of Pediatrics\nsection: Article\nPMID: 7936860","page":"504-507","source":"pediatrics.aappublications.org","title":"Predicting Adult Stature Without Using Skeletal Age: The Khamis-Roche Method","title-short":"Predicting Adult Stature Without Using Skeletal Age","volume":"94","author":[{"family":"Khamis","given":"Harry J."},{"family":"Roche","given":"Alex F."}],"issued":{"date-parts":[["1994",10,1]]}}}],"schema":"https://github.com/citation-style-language/schema/raw/master/csl-citation.json"} </w:instrText>
      </w:r>
      <w:r w:rsidRPr="00077240">
        <w:rPr>
          <w:rFonts w:ascii="Times New Roman" w:hAnsi="Times New Roman" w:cs="Times New Roman"/>
          <w:sz w:val="20"/>
          <w:szCs w:val="20"/>
        </w:rPr>
        <w:fldChar w:fldCharType="separate"/>
      </w:r>
      <w:r w:rsidR="00DD6C54">
        <w:rPr>
          <w:rFonts w:ascii="Times New Roman" w:hAnsi="Times New Roman" w:cs="Times New Roman"/>
          <w:sz w:val="20"/>
        </w:rPr>
        <w:t>(Epstein et al., 1995; Khamis &amp; Roche, 1994)</w:t>
      </w:r>
      <w:r w:rsidRPr="00077240">
        <w:rPr>
          <w:rFonts w:ascii="Times New Roman" w:hAnsi="Times New Roman" w:cs="Times New Roman"/>
          <w:sz w:val="20"/>
          <w:szCs w:val="20"/>
        </w:rPr>
        <w:fldChar w:fldCharType="end"/>
      </w:r>
      <w:r>
        <w:rPr>
          <w:rFonts w:ascii="Times New Roman" w:hAnsi="Times New Roman" w:cs="Times New Roman"/>
          <w:sz w:val="20"/>
          <w:szCs w:val="20"/>
        </w:rPr>
        <w:t xml:space="preserve">. </w:t>
      </w:r>
      <w:r w:rsidR="002D3532" w:rsidRPr="00A2361E">
        <w:rPr>
          <w:rFonts w:ascii="Times New Roman" w:hAnsi="Times New Roman" w:cs="Times New Roman"/>
          <w:color w:val="000000" w:themeColor="text1"/>
          <w:sz w:val="20"/>
          <w:szCs w:val="20"/>
        </w:rPr>
        <w:t xml:space="preserve">PAH% is a non-invasive estimation of maturation commonly applied by academies and endorsed through the EPPP player management application (PMA), likely as a result of its simplicity and accessibility </w:t>
      </w:r>
      <w:r w:rsidR="002D3532" w:rsidRPr="00A2361E">
        <w:rPr>
          <w:rFonts w:ascii="Times New Roman" w:hAnsi="Times New Roman" w:cs="Times New Roman"/>
          <w:color w:val="000000" w:themeColor="text1"/>
          <w:sz w:val="20"/>
          <w:szCs w:val="20"/>
        </w:rPr>
        <w:fldChar w:fldCharType="begin"/>
      </w:r>
      <w:r w:rsidR="00DF0C2E" w:rsidRPr="00A2361E">
        <w:rPr>
          <w:rFonts w:ascii="Times New Roman" w:hAnsi="Times New Roman" w:cs="Times New Roman"/>
          <w:color w:val="000000" w:themeColor="text1"/>
          <w:sz w:val="20"/>
          <w:szCs w:val="20"/>
        </w:rPr>
        <w:instrText xml:space="preserve"> ADDIN ZOTERO_ITEM CSL_CITATION {"citationID":"a2d1b9sr44j","properties":{"formattedCitation":"(Salter, De Ste Croix, Hughes, et al., 2020)","plainCitation":"(Salter, De Ste Croix, Hughes, et al., 2020)","noteIndex":0},"citationItems":[{"id":4,"uris":["http://zotero.org/users/6352108/items/QQRSMSGI"],"itemData":{"id":4,"type":"article-journal","container-title":"International Journal of Sports Physiology and Performance","journalAbbreviation":"IJSPP","language":"en","page":"28","source":"Zotero","title":"Monitoring practices of training load and biological maturity in UK soccer academies","author":[{"family":"Salter","given":"Jamie"},{"family":"De Ste Croix","given":"Mark B.A."},{"family":"Hughes","given":"Jonathan D."},{"family":"Weston","given":"Matthew"},{"family":"Towlson","given":"Christopher"}],"issued":{"date-parts":[["2020"]]}}}],"schema":"https://github.com/citation-style-language/schema/raw/master/csl-citation.json"} </w:instrText>
      </w:r>
      <w:r w:rsidR="002D3532" w:rsidRPr="00A2361E">
        <w:rPr>
          <w:rFonts w:ascii="Times New Roman" w:hAnsi="Times New Roman" w:cs="Times New Roman"/>
          <w:color w:val="000000" w:themeColor="text1"/>
          <w:sz w:val="20"/>
          <w:szCs w:val="20"/>
        </w:rPr>
        <w:fldChar w:fldCharType="separate"/>
      </w:r>
      <w:r w:rsidR="00DF0C2E" w:rsidRPr="00A2361E">
        <w:rPr>
          <w:rFonts w:ascii="Times New Roman" w:hAnsi="Times New Roman" w:cs="Times New Roman"/>
          <w:color w:val="000000" w:themeColor="text1"/>
          <w:sz w:val="20"/>
        </w:rPr>
        <w:t>(Salter, De Ste Croix, Hughes, et al., 2020)</w:t>
      </w:r>
      <w:r w:rsidR="002D3532" w:rsidRPr="00A2361E">
        <w:rPr>
          <w:rFonts w:ascii="Times New Roman" w:hAnsi="Times New Roman" w:cs="Times New Roman"/>
          <w:color w:val="000000" w:themeColor="text1"/>
          <w:sz w:val="20"/>
          <w:szCs w:val="20"/>
        </w:rPr>
        <w:fldChar w:fldCharType="end"/>
      </w:r>
      <w:r w:rsidR="002D3532" w:rsidRPr="00A2361E">
        <w:rPr>
          <w:rFonts w:ascii="Times New Roman" w:hAnsi="Times New Roman" w:cs="Times New Roman"/>
          <w:color w:val="000000" w:themeColor="text1"/>
          <w:sz w:val="20"/>
          <w:szCs w:val="20"/>
        </w:rPr>
        <w:t xml:space="preserve">. Parr et al. </w:t>
      </w:r>
      <w:r w:rsidR="002D3532" w:rsidRPr="00A2361E">
        <w:rPr>
          <w:rFonts w:ascii="Times New Roman" w:hAnsi="Times New Roman" w:cs="Times New Roman"/>
          <w:color w:val="000000" w:themeColor="text1"/>
          <w:sz w:val="20"/>
          <w:szCs w:val="20"/>
        </w:rPr>
        <w:fldChar w:fldCharType="begin"/>
      </w:r>
      <w:r w:rsidR="00DF0C2E" w:rsidRPr="00A2361E">
        <w:rPr>
          <w:rFonts w:ascii="Times New Roman" w:hAnsi="Times New Roman" w:cs="Times New Roman"/>
          <w:color w:val="000000" w:themeColor="text1"/>
          <w:sz w:val="20"/>
          <w:szCs w:val="20"/>
        </w:rPr>
        <w:instrText xml:space="preserve"> ADDIN ZOTERO_ITEM CSL_CITATION {"citationID":"9hZXrfI4","properties":{"formattedCitation":"(2020)","plainCitation":"(2020)","noteIndex":0},"citationItems":[{"id":1112,"uris":["http://zotero.org/users/6352108/items/NZWBTLY7"],"itemData":{"id":1112,"type":"article-journal","abstract":"Background: Three commonly used non-invasive protocols are implemented to estimate the timing at which PHV most likely occurs. Accurate estimation of circumpubertal years can aid in managing training load of adolescent athletes.Aim: Three protocols were compared against observed age at PHV: an estimate of 13.8 ± 1.0 years - generic age at PHV (from longitudinal measures); an estimate based on the maturity offset equation, predicted age at PHV ±1.0 year; a window of PHV based on 85 – 96% of predicted adult height at time of observation.Subjects and methods: A final sample of 23 (from 28) adolescent participants who were selected from the academy of an English Premier League club. Anthropometric measures were collected across five playing seasons; age at PHV was estimated with Super-Imposition by Translation and Rotation (SITAR). The three protocols were compared based on measures at 13.0 years.Results and Conclusions: An age window based on predicted maturity offset did not improve estimation of PHV compared to generic age method; however, the percentage of predicted adult height window showed improvement in performance shown by the following results. Predicted age at PHV correctly assigned 15 participants (65%) as experiencing PHV, while the percentage height correctly assigned 17 participants (74%). Generic age and predicted age at PHV correctly predicted observed age at PHV for 14 participants (61%), percentage of adult height window correctly predicted 22 participants (96%).","container-title":"Annals of Human Biology","DOI":"10.1080/03014460.2020.1782989","ISSN":"0301-4460","issue":"ja","note":"publisher: Taylor &amp; Francis\n_eprint: https://doi.org/10.1080/03014460.2020.1782989\nPMID: 32543933","page":"1-23","source":"Taylor and Francis+NEJM","title":"Predicting the timing of the peak of the pubertal growth spurt in elite youth soccer players: evaluation of methods","title-short":"Predicting the timing of the peak of the pubertal growth spurt in elite youth soccer players","volume":"0","author":[{"family":"Parr","given":"James"},{"family":"Winwood","given":"Keith"},{"family":"Hodson-Tole","given":"Emma"},{"family":"Deconinck","given":"Frederik J. A."},{"family":"Parry","given":"Les"},{"family":"Hill","given":"James P."},{"family":"Malina","given":"Robert M."},{"family":"Cumming","given":"Sean P."}],"issued":{"date-parts":[["2020",6,16]]}},"suppress-author":true}],"schema":"https://github.com/citation-style-language/schema/raw/master/csl-citation.json"} </w:instrText>
      </w:r>
      <w:r w:rsidR="002D3532" w:rsidRPr="00A2361E">
        <w:rPr>
          <w:rFonts w:ascii="Times New Roman" w:hAnsi="Times New Roman" w:cs="Times New Roman"/>
          <w:color w:val="000000" w:themeColor="text1"/>
          <w:sz w:val="20"/>
          <w:szCs w:val="20"/>
        </w:rPr>
        <w:fldChar w:fldCharType="separate"/>
      </w:r>
      <w:r w:rsidR="002D3532" w:rsidRPr="00A2361E">
        <w:rPr>
          <w:rFonts w:ascii="Times New Roman" w:hAnsi="Times New Roman" w:cs="Times New Roman"/>
          <w:noProof/>
          <w:color w:val="000000" w:themeColor="text1"/>
          <w:sz w:val="20"/>
          <w:szCs w:val="20"/>
        </w:rPr>
        <w:t>(2020)</w:t>
      </w:r>
      <w:r w:rsidR="002D3532" w:rsidRPr="00A2361E">
        <w:rPr>
          <w:rFonts w:ascii="Times New Roman" w:hAnsi="Times New Roman" w:cs="Times New Roman"/>
          <w:color w:val="000000" w:themeColor="text1"/>
          <w:sz w:val="20"/>
          <w:szCs w:val="20"/>
        </w:rPr>
        <w:fldChar w:fldCharType="end"/>
      </w:r>
      <w:r w:rsidR="002D3532" w:rsidRPr="00A2361E">
        <w:rPr>
          <w:rFonts w:ascii="Times New Roman" w:hAnsi="Times New Roman" w:cs="Times New Roman"/>
          <w:color w:val="000000" w:themeColor="text1"/>
          <w:sz w:val="20"/>
          <w:szCs w:val="20"/>
        </w:rPr>
        <w:t xml:space="preserve"> conducted longitudinal analysis to observe timing of PHV, and illustrated that PAH% was accurate 96% of the time. </w:t>
      </w:r>
      <w:r>
        <w:rPr>
          <w:rFonts w:ascii="Times New Roman" w:hAnsi="Times New Roman" w:cs="Times New Roman"/>
          <w:sz w:val="20"/>
          <w:szCs w:val="20"/>
        </w:rPr>
        <w:t xml:space="preserve">Maturation tempo was expressed as the change in stature per year (cm/year) which was measured at three time points during the study, separated by approximately 3-4 months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{"citationID":"VsLmnXAQ","properties":{"formattedCitation":"(Malina et al., 2004)","plainCitation":"(Malina et al., 2004)","noteIndex":0},"citationItems":[{"id":250,"uris":["http://zotero.org/users/6352108/items/FYV6CGLK"],"itemData":{"id":250,"type":"book","abstract":"The second edition of Growth, Maturation, and Physical Activity has been expanded with almost 300 new pages of material, making it the most comprehensive text on the biological growth, maturation, physical performance, and physical activity of children and adolescents. The new edition retains all the best features of the original text, including the helpful outlines at the beginning of each chapter that allow students to review major concepts. This edition features updates on basic content, expanded and modified chapters, and the latest research findings to meet the needs of upper undergraduate and graduate students as well as researchers and professionals working with children and young adults. The second edition also includes these new features: -10 lab activities that encourage students to investigate subject matter outside of class and save teachers time -A complete reference list at the end of each chapter -Chapter-ending summaries to make the review process easy for students -New chapters that contain updates on thermoregulation, methods for the assessment of physical activity, undernutrition, obesity, children with clinical conditions, and trends in growth and performance -Discussions that span current problems in public health, such as the quantification of physical activity and energy expenditure, persistent undernutrition in developing countries, and the obesity epidemic in developed countries The authors are three of the world's foremost authorities on children's growth and development. In 29 chapters, they address introductory concepts and prenatal growth, postnatal growth, functional development, biological maturation, influencing factors in growth, maturation and development, and specific applications to public health and sport. In addition, secular trends in growth, maturation, and performance over the past 150 years are considered. You'll be able to recognize risk factors that may affect young athletes; you'll also be able to make informed decisions about appropriate physical activities, program delivery, and performance expectations. Growth, Maturation, and Physical Activity, Second Edition, covers many additional topics, including new techniques for the assessment of body composition, the latest advances in the study of skeletal muscle, the human genome, the hormonal regulation of growth and maturation, clarification of dietary reference intakes, and the study of risk factors for several adult diseases. This is the only text to focus on the biological growth and maturation process of children and adolescents as it relates to physical activity and performance. With over 300 new pages of material, this text expertly builds on the successful first edition.","ISBN":"978-0-88011-882-8","language":"en","note":"Google-Books-ID: VqFcFsykj6EC","number-of-pages":"740","publisher":"Human Kinetics","source":"Google Books","title":"Growth, Maturation, and Physical Activity","author":[{"family":"Malina","given":"Robert M."},{"family":"Bouchard","given":"Claude"},{"family":"Bar-Or","given":"Oded"}],"issued":{"date-parts":[["2004"]]}}}],"schema":"https://github.com/citation-style-language/schema/raw/master/csl-citation.json"}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(Malina et al., 2004)</w:t>
      </w:r>
      <w:r>
        <w:rPr>
          <w:rFonts w:ascii="Times New Roman" w:hAnsi="Times New Roman" w:cs="Times New Roman"/>
          <w:sz w:val="20"/>
          <w:szCs w:val="20"/>
        </w:rPr>
        <w:fldChar w:fldCharType="end"/>
      </w:r>
      <w:r>
        <w:rPr>
          <w:rFonts w:ascii="Times New Roman" w:hAnsi="Times New Roman" w:cs="Times New Roman"/>
          <w:sz w:val="20"/>
          <w:szCs w:val="20"/>
        </w:rPr>
        <w:t>.</w:t>
      </w:r>
    </w:p>
    <w:p w14:paraId="68B9C0D6" w14:textId="77777777" w:rsidR="00835C45" w:rsidRDefault="00835C45" w:rsidP="00835C45">
      <w:pPr>
        <w:spacing w:line="480" w:lineRule="auto"/>
        <w:jc w:val="both"/>
        <w:rPr>
          <w:rFonts w:ascii="Times New Roman" w:hAnsi="Times New Roman" w:cs="Times New Roman"/>
          <w:sz w:val="20"/>
          <w:szCs w:val="20"/>
        </w:rPr>
      </w:pPr>
    </w:p>
    <w:p w14:paraId="3927B553" w14:textId="433929D1" w:rsidR="00835C45"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Self-reported perceptions of psycho-physiological intensity were collected approximately 15-minutes after each training session for a period of 40-weeks. Players used a touch-screen tablet (Acer </w:t>
      </w:r>
      <w:proofErr w:type="spellStart"/>
      <w:r>
        <w:rPr>
          <w:rFonts w:ascii="Times New Roman" w:hAnsi="Times New Roman" w:cs="Times New Roman"/>
          <w:sz w:val="20"/>
          <w:szCs w:val="20"/>
        </w:rPr>
        <w:t>Iconia</w:t>
      </w:r>
      <w:proofErr w:type="spellEnd"/>
      <w:r>
        <w:rPr>
          <w:rFonts w:ascii="Times New Roman" w:hAnsi="Times New Roman" w:cs="Times New Roman"/>
          <w:sz w:val="20"/>
          <w:szCs w:val="20"/>
        </w:rPr>
        <w:t xml:space="preserve"> One 8 B1-850, Taipei, Taiwan; Acer Inc) to record their perceptions of intensity using a customised application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{"citationID":"Nzpzgsbc","properties":{"formattedCitation":"(McLaren et al., 2017)","plainCitation":"(McLaren et al., 2017)","noteIndex":0},"citationItems":[{"id":869,"uris":["http://zotero.org/users/6352108/items/FVEK6HNK"],"itemData":{"id":869,"type":"article-journal","abstract":"Objectives: To investigate the application of differential ratings of perceived exertion (dRPE) to team-sport training. Design: Single cohort, observational study.\nMethods: Twenty-nine professional rugby union players were monitored over a six-week intensiﬁed training period. Training sessions were classiﬁed as: high-intensity intervals, repeated high-intensity efforts, speed, skill-based conditioning, skills, whole-body resistance, or upper-body resistance. After each session, players recorded a session rating of perceived exertion (sRPE; CR100®), along with differential session ratings for breathlessness (sRPE-B), leg muscle exertion (sRPE-L), upper-body muscle exertion (sRPE-U), and cognitive/technical demands (sRPE-T). Each score was multiplied by the session duration to calculate session training loads. Data were analysed using mixed linear modelling and multiple linear regression, with magnitude-based inferences subsequently applied.\nResults: Between-session differences in dRPE scores ranged from very likely trivial to most likely extremely large and within-session differences amongst dRPE scores ranged from unclear to most likely very large. Differential RPE training loads combined to explain 66–91% of the variance in sRPE training loads, and the strongest associations with sRPE training load were with sRPE-L for high-intensity intervals (r = 0.67; 90% conﬁdence limits ±0.22), sRPE-B for repeated high-intensity efforts (0.89; ±0.08) and skill-based conditioning (0.67; ±0.19), sRPE-T for Speed (0.63; ±0.17) and Skills (0.51; ±0.28), and sRPE-U for resistance training (whole-body: 0.61; ±0.21, upper-body: 0.92; ±0.07).\nConclusions: Differential RPE can provide a detailed quantiﬁcation of internal load during training activities commonplace in team sports. Knowledge of the relationships between dRPE and sRPE can isolate the speciﬁc perceptual demands of different training modes.","container-title":"Journal of Science and Medicine in Sport","DOI":"10.1016/j.jsams.2016.06.011","ISSN":"14402440","issue":"3","journalAbbreviation":"Journal of Science and Medicine in Sport","language":"en","page":"290-295","source":"DOI.org (Crossref)","title":"A detailed quantification of differential ratings of perceived exertion during team-sport training","volume":"20","author":[{"family":"McLaren","given":"Shaun J."},{"family":"Smith","given":"Andrew"},{"family":"Spears","given":"Iain R."},{"family":"Weston","given":"Matthew"}],"issued":{"date-parts":[["2017",3]]}}}],"schema":"https://github.com/citation-style-language/schema/raw/master/csl-citation.json"}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(McLaren et al., 2017)</w:t>
      </w:r>
      <w:r>
        <w:rPr>
          <w:rFonts w:ascii="Times New Roman" w:hAnsi="Times New Roman" w:cs="Times New Roman"/>
          <w:sz w:val="20"/>
          <w:szCs w:val="20"/>
        </w:rPr>
        <w:fldChar w:fldCharType="end"/>
      </w:r>
      <w:r>
        <w:rPr>
          <w:rFonts w:ascii="Times New Roman" w:hAnsi="Times New Roman" w:cs="Times New Roman"/>
          <w:sz w:val="20"/>
          <w:szCs w:val="20"/>
        </w:rPr>
        <w:t xml:space="preserve">. The application utilised the CR100® centi-Max scale with verbal anchors to provide confidential responses free from conformation bias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{"citationID":"a1n0ikeg4fr","properties":{"formattedCitation":"(McLaren et al., 2017; Wright et al., 2020)","plainCitation":"(McLaren et al., 2017; Wright et al., 2020)","noteIndex":0},"citationItems":[{"id":1569,"uris":["http://zotero.org/users/6352108/items/I6FYNHZ9"],"itemData":{"id":1569,"type":"article-journal","abstract":"&lt;section class=\"abstract\"&gt;&lt;p&gt;&lt;em&gt;&lt;strong&gt;Purpose&lt;/strong&gt;:&lt;/em&gt; To understand the validity of differential ratings of perceived exertion (dRPE) as a measure of girls’ training and match internal loads. &lt;em&gt;&lt;strong&gt;Methods&lt;/strong&gt;:&lt;/em&gt; Using the centiMax scale (CR100), session dRPE for breathlessness (sRPE-B) and leg muscle exertion (sRPE-L) were collected across a season of training (soccer, resistance, and fitness) and matches from 33 players (15 [1] y). Differences and associations between dRPE were examined using mixed and general linear models. The authors’ minimal practical important difference was 8 arbitrary units (AU). &lt;em&gt;&lt;strong&gt;Results&lt;/strong&gt;:&lt;/em&gt; Mean (AU [SD] </w:instrText>
      </w:r>
      <w:r w:rsidR="00DF0C2E">
        <w:rPr>
          <w:rFonts w:ascii="Cambria Math" w:hAnsi="Cambria Math" w:cs="Cambria Math"/>
          <w:sz w:val="20"/>
          <w:szCs w:val="20"/>
        </w:rPr>
        <w:instrText>∼</w:instrText>
      </w:r>
      <w:r w:rsidR="00DF0C2E">
        <w:rPr>
          <w:rFonts w:ascii="Times New Roman" w:hAnsi="Times New Roman" w:cs="Times New Roman"/>
          <w:sz w:val="20"/>
          <w:szCs w:val="20"/>
        </w:rPr>
        <w:instrText xml:space="preserve">16) sRPE-B and sRPE-L were 66 and 61 for matches, 51 and 49 for soccer, 86 and 67 for fitness, and 45 and 58 for resistance, respectively. Session RPE-B was rated most likely harder than sRPE-L for fitness (19 AU; 90% confidence limits: ±7) and most likely easier for resistance (−13; ±2). Match (5; ±4) and soccer (−3; ±2) differences were likely to most likely trivial. The within-player relationships between sRPE-B and sRPE-L were very likely moderate for matches (&lt;em&gt;r&lt;/em&gt; = .44; 90% confidence limits: ±.12) and resistance training (.38; ±.06), likely large for fitness training (.51; ±.22), and most likely large for soccer training (.56; ±.03). Shared variance ranged from 14% to 35%. &lt;em&gt;&lt;strong&gt;Conclusions&lt;/strong&gt;:&lt;/em&gt; Practically meaningful differences between dRPE following physical training sessions coupled with low shared variance in all training types and matches suggest that sRPE-B and sRPE-L represent unique sensory inputs in girls’ soccer players. The data provide evidence for the face and construct validity of dRPE as a measure of internal load in this population.&lt;/p&gt;&lt;/section&gt;","container-title":"International Journal of Sports Physiology and Performance","DOI":"10.1123/ijspp.2019-0595","ISSN":"1555-0273, 1555-0265","issue":"aop","language":"en_US","note":"publisher: Human Kinetics\nsection: International Journal of Sports Physiology and Performance","page":"1-9","source":"journals-humankinetics-com.yorksj.idm.oclc.org","title":"Differential Ratings of Perceived Match and Training Exertion in Girls’ Soccer","volume":"-1","author":[{"family":"Wright","given":"Matthew"},{"family":"Songane","given":"Francisco"},{"family":"Emmonds","given":"Stacey"},{"family":"Chesterton","given":"Paul"},{"family":"Weston","given":"Matthew"},{"family":"Mclaren","given":"Shaun J."}],"issued":{"date-parts":[["2020",9,18]]}}},{"id":869,"uris":["http://zotero.org/users/6352108/items/FVEK6HNK"],"itemData":{"id":869,"type":"article-journal","abstract":"Objectives: To investigate the application of differential ratings of perceived exertion (dRPE) to team-sport training. Design: Single cohort, observational study.\nMethods: Twenty-nine professional rugby union players were monitored over a six-week intensiﬁed training period. Training sessions were classiﬁed as: high-intensity intervals, repeated high-intensity efforts, speed, skill-based conditioning, skills, whole-body resistance, or upper-body resistance. After each session, players recorded a session rating of perceived exertion (sRPE; CR100®), along with differential session ratings for breathlessness (sRPE-B), leg muscle exertion (sRPE-L), upper-body muscle exertion (sRPE-U), and cognitive/technical demands (sRPE-T). Each score was multiplied by the session duration to calculate session training loads. Data were analysed using mixed linear modelling and multiple linear regression, with magnitude-based inferences subsequently applied.\nResults: Between-session differences in dRPE scores ranged from very likely trivial to most likely extremely large and within-session differences amongst dRPE scores ranged from unclear to most likely very large. Differential RPE training loads combined to explain 66–91% of the variance in sRPE training loads, and the strongest associations with sRPE training load were with sRPE-L for high-intensity intervals (r = 0.67; 90% conﬁdence limits ±0.22), sRPE-B for repeated high-intensity efforts (0.89; ±0.08) and skill-based conditioning (0.67; ±0.19), sRPE-T for Speed (0.63; ±0.17) and Skills (0.51; ±0.28), and sRPE-U for resistance training (whole-body: 0.61; ±0.21, upper-body: 0.92; ±0.07).\nConclusions: Differential RPE can provide a detailed quantiﬁcation of internal load during training activities commonplace in team sports. Knowledge of the relationships between dRPE and sRPE can isolate the speciﬁc perceptual demands of different training modes.","container-title":"Journal of Science and Medicine in Sport","DOI":"10.1016/j.jsams.2016.06.011","ISSN":"14402440","issue":"3","journalAbbreviation":"Journal of Science and Medicine in Sport","language":"en","page":"290-295","source":"DOI.org (Crossref)","title":"A detailed quantification of differential ratings of perceived exertion during team-sport training","volume":"20","author":[{"family":"McLaren","given":"Shaun J."},{"family":"Smith","given":"Andrew"},{"family":"Spears","given":"Iain R."},{"family":"Weston","given":"Matthew"}],"issued":{"date-parts":[["2017",3]]}}}],"schema":"https://github.com/citation-style-language/schema/raw/master/csl-citation.json"} </w:instrText>
      </w:r>
      <w:r>
        <w:rPr>
          <w:rFonts w:ascii="Times New Roman" w:hAnsi="Times New Roman" w:cs="Times New Roman"/>
          <w:sz w:val="20"/>
          <w:szCs w:val="20"/>
        </w:rPr>
        <w:fldChar w:fldCharType="separate"/>
      </w:r>
      <w:r w:rsidR="00AA1E68">
        <w:rPr>
          <w:rFonts w:ascii="Times New Roman" w:hAnsi="Times New Roman" w:cs="Times New Roman"/>
          <w:sz w:val="20"/>
        </w:rPr>
        <w:t>(McLaren et al., 2017; Wright et al., 2020)</w:t>
      </w:r>
      <w:r>
        <w:rPr>
          <w:rFonts w:ascii="Times New Roman" w:hAnsi="Times New Roman" w:cs="Times New Roman"/>
          <w:sz w:val="20"/>
          <w:szCs w:val="20"/>
        </w:rPr>
        <w:fldChar w:fldCharType="end"/>
      </w:r>
      <w:r>
        <w:rPr>
          <w:rFonts w:ascii="Times New Roman" w:hAnsi="Times New Roman" w:cs="Times New Roman"/>
          <w:sz w:val="20"/>
          <w:szCs w:val="20"/>
        </w:rPr>
        <w:t xml:space="preserve">. Ratings of global (sRPE) and differential (RPE-B, breathlessness; RPE-L, leg muscle; RPE-T, technical/cognitive) perceptions of exertion were provided in arbitrary units (AU) for each training session. This load monitoring procedure was introduced approximately 1-year prior to the start of the current study, allowing significant </w:t>
      </w:r>
      <w:r>
        <w:rPr>
          <w:rFonts w:ascii="Times New Roman" w:hAnsi="Times New Roman" w:cs="Times New Roman"/>
          <w:sz w:val="20"/>
          <w:szCs w:val="20"/>
        </w:rPr>
        <w:lastRenderedPageBreak/>
        <w:t>opportunity for players to become habituated. Mean weekly RPE for each participant was calculated and utilised for analysis.</w:t>
      </w:r>
    </w:p>
    <w:p w14:paraId="4363F3FD" w14:textId="77777777" w:rsidR="00835C45" w:rsidRDefault="00835C45" w:rsidP="00835C45">
      <w:pPr>
        <w:spacing w:line="480" w:lineRule="auto"/>
        <w:rPr>
          <w:rFonts w:ascii="Times New Roman" w:hAnsi="Times New Roman" w:cs="Times New Roman"/>
          <w:i/>
          <w:iCs/>
          <w:sz w:val="20"/>
          <w:szCs w:val="20"/>
        </w:rPr>
      </w:pPr>
    </w:p>
    <w:p w14:paraId="6C940BA5" w14:textId="5B70C679" w:rsidR="00835C45" w:rsidRPr="00077240" w:rsidRDefault="00835C45" w:rsidP="00835C45">
      <w:pPr>
        <w:spacing w:line="480" w:lineRule="auto"/>
        <w:jc w:val="both"/>
        <w:rPr>
          <w:rFonts w:ascii="Times New Roman" w:hAnsi="Times New Roman" w:cs="Times New Roman"/>
          <w:sz w:val="20"/>
          <w:szCs w:val="20"/>
        </w:rPr>
      </w:pPr>
      <w:r w:rsidRPr="00077240">
        <w:rPr>
          <w:rFonts w:ascii="Times New Roman" w:hAnsi="Times New Roman" w:cs="Times New Roman"/>
          <w:sz w:val="20"/>
          <w:szCs w:val="20"/>
        </w:rPr>
        <w:t>N</w:t>
      </w:r>
      <w:r>
        <w:rPr>
          <w:rFonts w:ascii="Times New Roman" w:hAnsi="Times New Roman" w:cs="Times New Roman"/>
          <w:sz w:val="20"/>
          <w:szCs w:val="20"/>
        </w:rPr>
        <w:t>eu</w:t>
      </w:r>
      <w:r w:rsidRPr="00077240">
        <w:rPr>
          <w:rFonts w:ascii="Times New Roman" w:hAnsi="Times New Roman" w:cs="Times New Roman"/>
          <w:sz w:val="20"/>
          <w:szCs w:val="20"/>
        </w:rPr>
        <w:t xml:space="preserve">romuscular </w:t>
      </w:r>
      <w:r>
        <w:rPr>
          <w:rFonts w:ascii="Times New Roman" w:hAnsi="Times New Roman" w:cs="Times New Roman"/>
          <w:sz w:val="20"/>
          <w:szCs w:val="20"/>
        </w:rPr>
        <w:t xml:space="preserve">(NM) </w:t>
      </w:r>
      <w:r w:rsidRPr="00077240">
        <w:rPr>
          <w:rFonts w:ascii="Times New Roman" w:hAnsi="Times New Roman" w:cs="Times New Roman"/>
          <w:sz w:val="20"/>
          <w:szCs w:val="20"/>
        </w:rPr>
        <w:t xml:space="preserve">performance was measured </w:t>
      </w:r>
      <w:r>
        <w:rPr>
          <w:rFonts w:ascii="Times New Roman" w:hAnsi="Times New Roman" w:cs="Times New Roman"/>
          <w:sz w:val="20"/>
          <w:szCs w:val="20"/>
        </w:rPr>
        <w:t>using</w:t>
      </w:r>
      <w:r w:rsidRPr="00077240">
        <w:rPr>
          <w:rFonts w:ascii="Times New Roman" w:hAnsi="Times New Roman" w:cs="Times New Roman"/>
          <w:sz w:val="20"/>
          <w:szCs w:val="20"/>
        </w:rPr>
        <w:t xml:space="preserve"> countermovement jump (CMJ), reactive strength index (RSI)</w:t>
      </w:r>
      <w:r>
        <w:rPr>
          <w:rFonts w:ascii="Times New Roman" w:hAnsi="Times New Roman" w:cs="Times New Roman"/>
          <w:sz w:val="20"/>
          <w:szCs w:val="20"/>
        </w:rPr>
        <w:t xml:space="preserve">, </w:t>
      </w:r>
      <w:r w:rsidRPr="00077240">
        <w:rPr>
          <w:rFonts w:ascii="Times New Roman" w:hAnsi="Times New Roman" w:cs="Times New Roman"/>
          <w:sz w:val="20"/>
          <w:szCs w:val="20"/>
        </w:rPr>
        <w:t>absolute</w:t>
      </w:r>
      <w:r>
        <w:rPr>
          <w:rFonts w:ascii="Times New Roman" w:hAnsi="Times New Roman" w:cs="Times New Roman"/>
          <w:sz w:val="20"/>
          <w:szCs w:val="20"/>
        </w:rPr>
        <w:t xml:space="preserve"> (ABS)</w:t>
      </w:r>
      <w:r w:rsidRPr="00077240">
        <w:rPr>
          <w:rFonts w:ascii="Times New Roman" w:hAnsi="Times New Roman" w:cs="Times New Roman"/>
          <w:sz w:val="20"/>
          <w:szCs w:val="20"/>
        </w:rPr>
        <w:t xml:space="preserve"> and relative leg</w:t>
      </w:r>
      <w:r>
        <w:rPr>
          <w:rFonts w:ascii="Times New Roman" w:hAnsi="Times New Roman" w:cs="Times New Roman"/>
          <w:sz w:val="20"/>
          <w:szCs w:val="20"/>
        </w:rPr>
        <w:t xml:space="preserve"> (REL)</w:t>
      </w:r>
      <w:r w:rsidRPr="00077240">
        <w:rPr>
          <w:rFonts w:ascii="Times New Roman" w:hAnsi="Times New Roman" w:cs="Times New Roman"/>
          <w:sz w:val="20"/>
          <w:szCs w:val="20"/>
        </w:rPr>
        <w:t xml:space="preserve"> stiffness </w:t>
      </w:r>
      <w:r>
        <w:rPr>
          <w:rFonts w:ascii="Times New Roman" w:hAnsi="Times New Roman" w:cs="Times New Roman"/>
          <w:sz w:val="20"/>
          <w:szCs w:val="20"/>
        </w:rPr>
        <w:t xml:space="preserve">at specific timepoints across the season coinciding with EPPP benchmark testing dates. </w:t>
      </w:r>
      <w:r w:rsidRPr="00077240">
        <w:rPr>
          <w:rFonts w:ascii="Times New Roman" w:hAnsi="Times New Roman" w:cs="Times New Roman"/>
          <w:sz w:val="20"/>
          <w:szCs w:val="20"/>
        </w:rPr>
        <w:t>Participants had opportunity to familiarise themselves with the protocol after a standardised 5-minute dynamic warm-up. After sufficient rest (3-5 mins) participants complete</w:t>
      </w:r>
      <w:r>
        <w:rPr>
          <w:rFonts w:ascii="Times New Roman" w:hAnsi="Times New Roman" w:cs="Times New Roman"/>
          <w:sz w:val="20"/>
          <w:szCs w:val="20"/>
        </w:rPr>
        <w:t>d</w:t>
      </w:r>
      <w:r w:rsidRPr="00077240">
        <w:rPr>
          <w:rFonts w:ascii="Times New Roman" w:hAnsi="Times New Roman" w:cs="Times New Roman"/>
          <w:sz w:val="20"/>
          <w:szCs w:val="20"/>
        </w:rPr>
        <w:t xml:space="preserve"> two attempts of each protocol using the </w:t>
      </w:r>
      <w:proofErr w:type="spellStart"/>
      <w:r w:rsidRPr="00077240">
        <w:rPr>
          <w:rFonts w:ascii="Times New Roman" w:hAnsi="Times New Roman" w:cs="Times New Roman"/>
          <w:sz w:val="20"/>
          <w:szCs w:val="20"/>
        </w:rPr>
        <w:t>Optojump</w:t>
      </w:r>
      <w:proofErr w:type="spellEnd"/>
      <w:r w:rsidRPr="00077240">
        <w:rPr>
          <w:rFonts w:ascii="Times New Roman" w:hAnsi="Times New Roman" w:cs="Times New Roman"/>
          <w:sz w:val="20"/>
          <w:szCs w:val="20"/>
        </w:rPr>
        <w:t xml:space="preserve"> photocell system (</w:t>
      </w:r>
      <w:proofErr w:type="spellStart"/>
      <w:r w:rsidRPr="00077240">
        <w:rPr>
          <w:rFonts w:ascii="Times New Roman" w:hAnsi="Times New Roman" w:cs="Times New Roman"/>
          <w:sz w:val="20"/>
          <w:szCs w:val="20"/>
        </w:rPr>
        <w:t>Microgate</w:t>
      </w:r>
      <w:proofErr w:type="spellEnd"/>
      <w:r w:rsidRPr="00077240">
        <w:rPr>
          <w:rFonts w:ascii="Times New Roman" w:hAnsi="Times New Roman" w:cs="Times New Roman"/>
          <w:sz w:val="20"/>
          <w:szCs w:val="20"/>
        </w:rPr>
        <w:t>, Bolzano, Italy)</w:t>
      </w:r>
      <w:r>
        <w:rPr>
          <w:rFonts w:ascii="Times New Roman" w:hAnsi="Times New Roman" w:cs="Times New Roman"/>
          <w:sz w:val="20"/>
          <w:szCs w:val="20"/>
        </w:rPr>
        <w:t xml:space="preserve"> </w:t>
      </w:r>
      <w:r w:rsidRPr="00077240">
        <w:rPr>
          <w:rFonts w:ascii="Times New Roman" w:hAnsi="Times New Roman" w:cs="Times New Roman"/>
          <w:sz w:val="20"/>
          <w:szCs w:val="20"/>
        </w:rPr>
        <w:t>with the best result taken for analysis.</w:t>
      </w:r>
      <w:r>
        <w:rPr>
          <w:rFonts w:ascii="Times New Roman" w:hAnsi="Times New Roman" w:cs="Times New Roman"/>
          <w:sz w:val="20"/>
          <w:szCs w:val="20"/>
        </w:rPr>
        <w:t xml:space="preserve"> </w:t>
      </w:r>
      <w:r w:rsidRPr="00077240">
        <w:rPr>
          <w:rFonts w:ascii="Times New Roman" w:hAnsi="Times New Roman" w:cs="Times New Roman"/>
          <w:sz w:val="20"/>
          <w:szCs w:val="20"/>
        </w:rPr>
        <w:t>CMJ and RSI were calculated from five consecutive, maximal bilateral jumps. Participants started in an upright, standing position with hands on hips and then squatted to a self-selected depth and without pausing jump</w:t>
      </w:r>
      <w:r>
        <w:rPr>
          <w:rFonts w:ascii="Times New Roman" w:hAnsi="Times New Roman" w:cs="Times New Roman"/>
          <w:sz w:val="20"/>
          <w:szCs w:val="20"/>
        </w:rPr>
        <w:t>ed</w:t>
      </w:r>
      <w:r w:rsidRPr="00077240">
        <w:rPr>
          <w:rFonts w:ascii="Times New Roman" w:hAnsi="Times New Roman" w:cs="Times New Roman"/>
          <w:sz w:val="20"/>
          <w:szCs w:val="20"/>
        </w:rPr>
        <w:t xml:space="preserve"> maximally five times. Jump height (cm) was calculated from the first maximal jump using flight time from the following equation (equation 1) </w:t>
      </w:r>
      <w:r w:rsidRPr="00077240">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{"citationID":"n8WYmchM","properties":{"formattedCitation":"(De Ste Croix et al., 2015)","plainCitation":"(De Ste Croix et al., 2015)","noteIndex":0},"citationItems":[{"id":34,"uris":["http://zotero.org/users/6352108/items/UKUYDGQC"],"itemData":{"id":34,"type":"article-journal","container-title":"Scandinavian Journal of Medicine &amp; Science in Sports","DOI":"10.1111/sms.12355","ISSN":"09057188","issue":"5","journalAbbreviation":"Scand J Med Sci Sports","language":"en","page":"e531-e538","source":"DOI.org (Crossref)","title":"ACL injury risk in elite female youth soccer: Changes in neuromuscular control of the knee following soccer-specific fatigue: Female youth soccer and fatigue","title-short":"ACL injury risk in elite female youth soccer","volume":"25","author":[{"family":"De Ste Croix","given":"Mark B.A."},{"family":"Priestley","given":"A. M."},{"family":"Lloyd","given":"Rhodri S."},{"family":"Oliver","given":"Jon L."}],"issued":{"date-parts":[["2015",10]]}}}],"schema":"https://github.com/citation-style-language/schema/raw/master/csl-citation.json"} </w:instrText>
      </w:r>
      <w:r w:rsidRPr="00077240">
        <w:rPr>
          <w:rFonts w:ascii="Times New Roman" w:hAnsi="Times New Roman" w:cs="Times New Roman"/>
          <w:sz w:val="20"/>
          <w:szCs w:val="20"/>
        </w:rPr>
        <w:fldChar w:fldCharType="separate"/>
      </w:r>
      <w:r w:rsidR="00DD6C54">
        <w:rPr>
          <w:rFonts w:ascii="Times New Roman" w:hAnsi="Times New Roman" w:cs="Times New Roman"/>
          <w:sz w:val="20"/>
        </w:rPr>
        <w:t>(De Ste Croix et al., 2015)</w:t>
      </w:r>
      <w:r w:rsidRPr="00077240">
        <w:rPr>
          <w:rFonts w:ascii="Times New Roman" w:hAnsi="Times New Roman" w:cs="Times New Roman"/>
          <w:sz w:val="20"/>
          <w:szCs w:val="20"/>
        </w:rPr>
        <w:fldChar w:fldCharType="end"/>
      </w:r>
      <w:r w:rsidRPr="00077240">
        <w:rPr>
          <w:rFonts w:ascii="Times New Roman" w:hAnsi="Times New Roman" w:cs="Times New Roman"/>
          <w:sz w:val="20"/>
          <w:szCs w:val="20"/>
        </w:rPr>
        <w:t>. Jump height and ground contact time were averaged across the five rebound maximal bilateral jumps to calculate RSI using the following equation (equation 2).</w:t>
      </w:r>
    </w:p>
    <w:p w14:paraId="3ED794BB" w14:textId="77777777" w:rsidR="00D22DF7" w:rsidRDefault="00D22DF7" w:rsidP="00835C45">
      <w:pPr>
        <w:spacing w:line="480" w:lineRule="auto"/>
        <w:rPr>
          <w:rFonts w:ascii="Times New Roman" w:hAnsi="Times New Roman" w:cs="Times New Roman"/>
          <w:i/>
          <w:sz w:val="20"/>
          <w:szCs w:val="20"/>
        </w:rPr>
      </w:pPr>
    </w:p>
    <w:p w14:paraId="068FB7E0" w14:textId="4859F9F9" w:rsidR="00835C45" w:rsidRPr="00077240" w:rsidRDefault="00835C45" w:rsidP="00835C45">
      <w:pPr>
        <w:spacing w:line="480" w:lineRule="auto"/>
        <w:rPr>
          <w:rFonts w:ascii="Times New Roman" w:hAnsi="Times New Roman" w:cs="Times New Roman"/>
          <w:i/>
          <w:sz w:val="20"/>
          <w:szCs w:val="20"/>
        </w:rPr>
      </w:pPr>
      <w:r w:rsidRPr="00077240">
        <w:rPr>
          <w:rFonts w:ascii="Times New Roman" w:hAnsi="Times New Roman" w:cs="Times New Roman"/>
          <w:i/>
          <w:sz w:val="20"/>
          <w:szCs w:val="20"/>
        </w:rPr>
        <w:t>Equation 1</w:t>
      </w:r>
    </w:p>
    <w:p w14:paraId="528DB476" w14:textId="77777777" w:rsidR="00835C45" w:rsidRPr="00077240" w:rsidRDefault="00835C45" w:rsidP="00835C45">
      <w:pPr>
        <w:spacing w:line="480" w:lineRule="auto"/>
        <w:jc w:val="center"/>
        <w:rPr>
          <w:rFonts w:ascii="Times New Roman" w:hAnsi="Times New Roman" w:cs="Times New Roman"/>
          <w:sz w:val="20"/>
          <w:szCs w:val="20"/>
        </w:rPr>
      </w:pPr>
      <w:r w:rsidRPr="00077240">
        <w:rPr>
          <w:rFonts w:ascii="Times New Roman" w:hAnsi="Times New Roman" w:cs="Times New Roman"/>
          <w:sz w:val="20"/>
          <w:szCs w:val="20"/>
        </w:rPr>
        <w:t>Jump height = (Flight time</w:t>
      </w:r>
      <w:r w:rsidRPr="00077240">
        <w:rPr>
          <w:rFonts w:ascii="Times New Roman" w:hAnsi="Times New Roman" w:cs="Times New Roman"/>
          <w:sz w:val="20"/>
          <w:szCs w:val="20"/>
          <w:vertAlign w:val="superscript"/>
        </w:rPr>
        <w:t>2</w:t>
      </w:r>
      <w:r w:rsidRPr="00077240">
        <w:rPr>
          <w:rFonts w:ascii="Times New Roman" w:hAnsi="Times New Roman" w:cs="Times New Roman"/>
          <w:sz w:val="20"/>
          <w:szCs w:val="20"/>
        </w:rPr>
        <w:t xml:space="preserve"> * gravity) / 8</w:t>
      </w:r>
    </w:p>
    <w:p w14:paraId="2150F387" w14:textId="77777777" w:rsidR="00835C45" w:rsidRPr="00077240" w:rsidRDefault="00835C45" w:rsidP="00835C45">
      <w:pPr>
        <w:spacing w:line="480" w:lineRule="auto"/>
        <w:rPr>
          <w:rFonts w:ascii="Times New Roman" w:hAnsi="Times New Roman" w:cs="Times New Roman"/>
          <w:i/>
          <w:sz w:val="20"/>
          <w:szCs w:val="20"/>
        </w:rPr>
      </w:pPr>
      <w:r w:rsidRPr="00077240">
        <w:rPr>
          <w:rFonts w:ascii="Times New Roman" w:hAnsi="Times New Roman" w:cs="Times New Roman"/>
          <w:i/>
          <w:sz w:val="20"/>
          <w:szCs w:val="20"/>
        </w:rPr>
        <w:t>Equation 2</w:t>
      </w:r>
    </w:p>
    <w:p w14:paraId="399B41A8" w14:textId="77777777" w:rsidR="00835C45" w:rsidRDefault="00835C45" w:rsidP="00835C45">
      <w:pPr>
        <w:spacing w:line="480" w:lineRule="auto"/>
        <w:jc w:val="center"/>
        <w:rPr>
          <w:rFonts w:ascii="Times New Roman" w:hAnsi="Times New Roman" w:cs="Times New Roman"/>
          <w:sz w:val="20"/>
          <w:szCs w:val="20"/>
        </w:rPr>
      </w:pPr>
      <w:r w:rsidRPr="00077240">
        <w:rPr>
          <w:rFonts w:ascii="Times New Roman" w:hAnsi="Times New Roman" w:cs="Times New Roman"/>
          <w:sz w:val="20"/>
          <w:szCs w:val="20"/>
        </w:rPr>
        <w:t>RSI = jump height (m) / ground contact time (s)</w:t>
      </w:r>
    </w:p>
    <w:p w14:paraId="1432AC0A" w14:textId="77777777" w:rsidR="00835C45" w:rsidRPr="00077240" w:rsidRDefault="00835C45" w:rsidP="00835C45">
      <w:pPr>
        <w:spacing w:line="480" w:lineRule="auto"/>
        <w:jc w:val="center"/>
        <w:rPr>
          <w:rFonts w:ascii="Times New Roman" w:hAnsi="Times New Roman" w:cs="Times New Roman"/>
          <w:sz w:val="20"/>
          <w:szCs w:val="20"/>
        </w:rPr>
      </w:pPr>
    </w:p>
    <w:p w14:paraId="76FEC596" w14:textId="12A2A999" w:rsidR="00835C45" w:rsidRPr="00077240"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ABS</w:t>
      </w:r>
      <w:r w:rsidRPr="00077240">
        <w:rPr>
          <w:rFonts w:ascii="Times New Roman" w:hAnsi="Times New Roman" w:cs="Times New Roman"/>
          <w:sz w:val="20"/>
          <w:szCs w:val="20"/>
        </w:rPr>
        <w:t xml:space="preserve"> and </w:t>
      </w:r>
      <w:r>
        <w:rPr>
          <w:rFonts w:ascii="Times New Roman" w:hAnsi="Times New Roman" w:cs="Times New Roman"/>
          <w:sz w:val="20"/>
          <w:szCs w:val="20"/>
        </w:rPr>
        <w:t>REL</w:t>
      </w:r>
      <w:r w:rsidRPr="00077240">
        <w:rPr>
          <w:rFonts w:ascii="Times New Roman" w:hAnsi="Times New Roman" w:cs="Times New Roman"/>
          <w:sz w:val="20"/>
          <w:szCs w:val="20"/>
        </w:rPr>
        <w:t xml:space="preserve"> </w:t>
      </w:r>
      <w:r>
        <w:rPr>
          <w:rFonts w:ascii="Times New Roman" w:hAnsi="Times New Roman" w:cs="Times New Roman"/>
          <w:sz w:val="20"/>
          <w:szCs w:val="20"/>
        </w:rPr>
        <w:t xml:space="preserve">stiffness </w:t>
      </w:r>
      <w:r w:rsidRPr="00077240">
        <w:rPr>
          <w:rFonts w:ascii="Times New Roman" w:hAnsi="Times New Roman" w:cs="Times New Roman"/>
          <w:sz w:val="20"/>
          <w:szCs w:val="20"/>
        </w:rPr>
        <w:t>w</w:t>
      </w:r>
      <w:r>
        <w:rPr>
          <w:rFonts w:ascii="Times New Roman" w:hAnsi="Times New Roman" w:cs="Times New Roman"/>
          <w:sz w:val="20"/>
          <w:szCs w:val="20"/>
        </w:rPr>
        <w:t>ere</w:t>
      </w:r>
      <w:r w:rsidRPr="00077240">
        <w:rPr>
          <w:rFonts w:ascii="Times New Roman" w:hAnsi="Times New Roman" w:cs="Times New Roman"/>
          <w:sz w:val="20"/>
          <w:szCs w:val="20"/>
        </w:rPr>
        <w:t xml:space="preserve"> measured from contact time and flight time during 20 consecutive bilateral sub-maximal hops at a frequency of 2.5 Hz. This </w:t>
      </w:r>
      <w:r>
        <w:rPr>
          <w:rFonts w:ascii="Times New Roman" w:hAnsi="Times New Roman" w:cs="Times New Roman"/>
          <w:sz w:val="20"/>
          <w:szCs w:val="20"/>
        </w:rPr>
        <w:t>speed</w:t>
      </w:r>
      <w:r w:rsidRPr="00077240">
        <w:rPr>
          <w:rFonts w:ascii="Times New Roman" w:hAnsi="Times New Roman" w:cs="Times New Roman"/>
          <w:sz w:val="20"/>
          <w:szCs w:val="20"/>
        </w:rPr>
        <w:t xml:space="preserve"> was deemed to have the highest reliability of leg stiffness measured in adolescent populations (CV 7.2%) </w:t>
      </w:r>
      <w:r w:rsidRPr="00077240">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{"citationID":"qXumoHPL","properties":{"formattedCitation":"(De Ste Croix et al., 2015)","plainCitation":"(De Ste Croix et al., 2015)","noteIndex":0},"citationItems":[{"id":34,"uris":["http://zotero.org/users/6352108/items/UKUYDGQC"],"itemData":{"id":34,"type":"article-journal","container-title":"Scandinavian Journal of Medicine &amp; Science in Sports","DOI":"10.1111/sms.12355","ISSN":"09057188","issue":"5","journalAbbreviation":"Scand J Med Sci Sports","language":"en","page":"e531-e538","source":"DOI.org (Crossref)","title":"ACL injury risk in elite female youth soccer: Changes in neuromuscular control of the knee following soccer-specific fatigue: Female youth soccer and fatigue","title-short":"ACL injury risk in elite female youth soccer","volume":"25","author":[{"family":"De Ste Croix","given":"Mark B.A."},{"family":"Priestley","given":"A. M."},{"family":"Lloyd","given":"Rhodri S."},{"family":"Oliver","given":"Jon L."}],"issued":{"date-parts":[["2015",10]]}}}],"schema":"https://github.com/citation-style-language/schema/raw/master/csl-citation.json"} </w:instrText>
      </w:r>
      <w:r w:rsidRPr="00077240">
        <w:rPr>
          <w:rFonts w:ascii="Times New Roman" w:hAnsi="Times New Roman" w:cs="Times New Roman"/>
          <w:sz w:val="20"/>
          <w:szCs w:val="20"/>
        </w:rPr>
        <w:fldChar w:fldCharType="separate"/>
      </w:r>
      <w:r w:rsidR="00DD6C54">
        <w:rPr>
          <w:rFonts w:ascii="Times New Roman" w:hAnsi="Times New Roman" w:cs="Times New Roman"/>
          <w:sz w:val="20"/>
        </w:rPr>
        <w:t>(De Ste Croix et al., 2015)</w:t>
      </w:r>
      <w:r w:rsidRPr="00077240">
        <w:rPr>
          <w:rFonts w:ascii="Times New Roman" w:hAnsi="Times New Roman" w:cs="Times New Roman"/>
          <w:sz w:val="20"/>
          <w:szCs w:val="20"/>
        </w:rPr>
        <w:fldChar w:fldCharType="end"/>
      </w:r>
      <w:r w:rsidRPr="00077240">
        <w:rPr>
          <w:rFonts w:ascii="Times New Roman" w:hAnsi="Times New Roman" w:cs="Times New Roman"/>
          <w:sz w:val="20"/>
          <w:szCs w:val="20"/>
        </w:rPr>
        <w:t xml:space="preserve">. Participants were asked to place hands on their hips to minimise upper body interference; rebound for height and land within the photocell gates; landing with legs fully extended and looking forwards. </w:t>
      </w:r>
      <w:r>
        <w:rPr>
          <w:rFonts w:ascii="Times New Roman" w:hAnsi="Times New Roman" w:cs="Times New Roman"/>
          <w:sz w:val="20"/>
          <w:szCs w:val="20"/>
        </w:rPr>
        <w:t xml:space="preserve">ABS </w:t>
      </w:r>
      <w:r w:rsidRPr="00077240">
        <w:rPr>
          <w:rFonts w:ascii="Times New Roman" w:hAnsi="Times New Roman" w:cs="Times New Roman"/>
          <w:sz w:val="20"/>
          <w:szCs w:val="20"/>
        </w:rPr>
        <w:t>stiffness was calculated using equation 3 where K</w:t>
      </w:r>
      <w:r w:rsidRPr="00077240">
        <w:rPr>
          <w:rFonts w:ascii="Times New Roman" w:hAnsi="Times New Roman" w:cs="Times New Roman"/>
          <w:sz w:val="20"/>
          <w:szCs w:val="20"/>
          <w:vertAlign w:val="subscript"/>
        </w:rPr>
        <w:t>leg</w:t>
      </w:r>
      <w:r w:rsidRPr="00077240">
        <w:rPr>
          <w:rFonts w:ascii="Times New Roman" w:hAnsi="Times New Roman" w:cs="Times New Roman"/>
          <w:sz w:val="20"/>
          <w:szCs w:val="20"/>
        </w:rPr>
        <w:t xml:space="preserve"> refers to leg stiffness, M is total body mass, Tc refers to ground contact time and </w:t>
      </w:r>
      <w:proofErr w:type="spellStart"/>
      <w:r w:rsidRPr="00077240">
        <w:rPr>
          <w:rFonts w:ascii="Times New Roman" w:hAnsi="Times New Roman" w:cs="Times New Roman"/>
          <w:sz w:val="20"/>
          <w:szCs w:val="20"/>
        </w:rPr>
        <w:t>Tf</w:t>
      </w:r>
      <w:proofErr w:type="spellEnd"/>
      <w:r w:rsidRPr="00077240">
        <w:rPr>
          <w:rFonts w:ascii="Times New Roman" w:hAnsi="Times New Roman" w:cs="Times New Roman"/>
          <w:sz w:val="20"/>
          <w:szCs w:val="20"/>
        </w:rPr>
        <w:t xml:space="preserve"> is equal to flight time </w:t>
      </w:r>
      <w:r w:rsidRPr="00077240">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{"citationID":"hEHTmRuC","properties":{"formattedCitation":"(Lloyd et al., 2009)","plainCitation":"(Lloyd et al., 2009)","noteIndex":0},"citationItems":[{"id":596,"uris":["http://zotero.org/users/6352108/items/XH3AMTJ7"],"itemData":{"id":596,"type":"article-journal","abstract":"The aim of the study was to assess the reliability of a mobile contact mat in measuring a range of stretch–shortening cycle parameters in young adolescents. Additionally, vertical leg stiffness using contact mat data was validated against a criterion method using force–time data. The reliability study involved 18 youths completing a habituation and three separate test sessions, while 20 youths completed a single test session for the validity study. Participants completed three trials of a squat jump, countermovement jump, and maximal hopping test and a single trial of repeated sub-maximal hopping at 2.0 Hz and 2.5 Hz. All tests were performed on the contact mat. Reliability statistics included repeated-measures analysis of variance, intraclass correlation coefﬁcient, and coefﬁcient of variation (CV), while the correlation coefﬁcient (r) and typical error of estimate (TEE) were reported for the validity study. Squat jump height was the most reliable measure (CV ¼ 8.64%), while leg stiffness during sub-maximal hopping, and reactive strength index produced moderate reliability (CV ¼ 10.17–13.93% and 13.98% respectively). Measures of leg stiffness obtained from contact mat data during sub-maximal hopping were in agreement with the criterion measure (r ¼ 0.92–0.95; TEE ¼ 6.5–7.5%), but not during maximal hopping (r ¼ 0.59; TEE ¼ 41.9%). The contact mat was deemed a valid tool for measuring stretch–shortening cycle ability in sub-maximal but not maximal hopping. Although reliability of performance was generally moderate, the tests offer a replicable assessment method for use with paediatric populations.","container-title":"Journal of Sports Sciences","DOI":"10.1080/02640410903311572","ISSN":"0264-0414, 1466-447X","issue":"14","journalAbbreviation":"Journal of Sports Sciences","language":"en","page":"1565-1573","source":"DOI.org (Crossref)","title":"Reliability and validity of field-based measures of leg stiffness and reactive strength index in youths","volume":"27","author":[{"family":"Lloyd","given":"Rhodri S."},{"family":"Oliver","given":"Jon L."},{"family":"Hughes","given":"Michael G."},{"family":"Williams","given":"Craig A."}],"issued":{"date-parts":[["2009",12]]}}}],"schema":"https://github.com/citation-style-language/schema/raw/master/csl-citation.json"} </w:instrText>
      </w:r>
      <w:r w:rsidRPr="00077240">
        <w:rPr>
          <w:rFonts w:ascii="Times New Roman" w:hAnsi="Times New Roman" w:cs="Times New Roman"/>
          <w:sz w:val="20"/>
          <w:szCs w:val="20"/>
        </w:rPr>
        <w:fldChar w:fldCharType="separate"/>
      </w:r>
      <w:r w:rsidR="00DD6C54">
        <w:rPr>
          <w:rFonts w:ascii="Times New Roman" w:hAnsi="Times New Roman" w:cs="Times New Roman"/>
          <w:sz w:val="20"/>
        </w:rPr>
        <w:t>(Lloyd et al., 2009)</w:t>
      </w:r>
      <w:r w:rsidRPr="00077240">
        <w:rPr>
          <w:rFonts w:ascii="Times New Roman" w:hAnsi="Times New Roman" w:cs="Times New Roman"/>
          <w:sz w:val="20"/>
          <w:szCs w:val="20"/>
        </w:rPr>
        <w:fldChar w:fldCharType="end"/>
      </w:r>
      <w:r w:rsidRPr="00077240">
        <w:rPr>
          <w:rFonts w:ascii="Times New Roman" w:hAnsi="Times New Roman" w:cs="Times New Roman"/>
          <w:sz w:val="20"/>
          <w:szCs w:val="20"/>
        </w:rPr>
        <w:t xml:space="preserve">. To account for the influence of mass on leg stiffness and leg length on mechanical properties of locomotion between participants, absolute values of leg stiffness were divided by body mass and leg length to provide a dimensionless value of relative leg stiffness </w:t>
      </w:r>
      <w:r w:rsidRPr="00077240">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{"citationID":"x1svAWgO","properties":{"formattedCitation":"(De Ste Croix et al., 2015)","plainCitation":"(De Ste Croix et al., 2015)","noteIndex":0},"citationItems":[{"id":34,"uris":["http://zotero.org/users/6352108/items/UKUYDGQC"],"itemData":{"id":34,"type":"article-journal","container-title":"Scandinavian Journal of Medicine &amp; Science in Sports","DOI":"10.1111/sms.12355","ISSN":"09057188","issue":"5","journalAbbreviation":"Scand J Med Sci Sports","language":"en","page":"e531-e538","source":"DOI.org (Crossref)","title":"ACL injury risk in elite female youth soccer: Changes in neuromuscular control of the knee following soccer-specific fatigue: Female youth soccer and fatigue","title-short":"ACL injury risk in elite female youth soccer","volume":"25","author":[{"family":"De Ste Croix","given":"Mark B.A."},{"family":"Priestley","given":"A. M."},{"family":"Lloyd","given":"Rhodri S."},{"family":"Oliver","given":"Jon L."}],"issued":{"date-parts":[["2015",10]]}}}],"schema":"https://github.com/citation-style-language/schema/raw/master/csl-citation.json"} </w:instrText>
      </w:r>
      <w:r w:rsidRPr="00077240">
        <w:rPr>
          <w:rFonts w:ascii="Times New Roman" w:hAnsi="Times New Roman" w:cs="Times New Roman"/>
          <w:sz w:val="20"/>
          <w:szCs w:val="20"/>
        </w:rPr>
        <w:fldChar w:fldCharType="separate"/>
      </w:r>
      <w:r w:rsidR="00DD6C54">
        <w:rPr>
          <w:rFonts w:ascii="Times New Roman" w:hAnsi="Times New Roman" w:cs="Times New Roman"/>
          <w:sz w:val="20"/>
        </w:rPr>
        <w:t>(De Ste Croix et al., 2015)</w:t>
      </w:r>
      <w:r w:rsidRPr="00077240">
        <w:rPr>
          <w:rFonts w:ascii="Times New Roman" w:hAnsi="Times New Roman" w:cs="Times New Roman"/>
          <w:sz w:val="20"/>
          <w:szCs w:val="20"/>
        </w:rPr>
        <w:fldChar w:fldCharType="end"/>
      </w:r>
      <w:r w:rsidRPr="00077240">
        <w:rPr>
          <w:rFonts w:ascii="Times New Roman" w:hAnsi="Times New Roman" w:cs="Times New Roman"/>
          <w:sz w:val="20"/>
          <w:szCs w:val="20"/>
        </w:rPr>
        <w:t>.</w:t>
      </w:r>
    </w:p>
    <w:p w14:paraId="065720B8" w14:textId="77777777" w:rsidR="00DD6C54" w:rsidRDefault="00DD6C54" w:rsidP="00835C45">
      <w:pPr>
        <w:spacing w:line="480" w:lineRule="auto"/>
        <w:rPr>
          <w:rFonts w:ascii="Times New Roman" w:hAnsi="Times New Roman" w:cs="Times New Roman"/>
          <w:i/>
          <w:sz w:val="20"/>
          <w:szCs w:val="20"/>
        </w:rPr>
      </w:pPr>
    </w:p>
    <w:p w14:paraId="26EEF00C" w14:textId="0AF223E1" w:rsidR="00835C45" w:rsidRPr="00077240" w:rsidRDefault="00835C45" w:rsidP="00835C45">
      <w:pPr>
        <w:spacing w:line="480" w:lineRule="auto"/>
        <w:rPr>
          <w:rFonts w:ascii="Times New Roman" w:hAnsi="Times New Roman" w:cs="Times New Roman"/>
          <w:i/>
          <w:sz w:val="20"/>
          <w:szCs w:val="20"/>
        </w:rPr>
      </w:pPr>
      <w:r w:rsidRPr="00077240">
        <w:rPr>
          <w:rFonts w:ascii="Times New Roman" w:hAnsi="Times New Roman" w:cs="Times New Roman"/>
          <w:i/>
          <w:sz w:val="20"/>
          <w:szCs w:val="20"/>
        </w:rPr>
        <w:t>Equation 3: Absolute Leg Stiffness</w:t>
      </w:r>
    </w:p>
    <w:p w14:paraId="377BCD35" w14:textId="77777777" w:rsidR="00835C45" w:rsidRPr="009D55EC" w:rsidRDefault="00835C45" w:rsidP="00835C45">
      <w:pPr>
        <w:spacing w:line="480" w:lineRule="auto"/>
        <w:jc w:val="center"/>
        <w:rPr>
          <w:rFonts w:ascii="Times New Roman" w:hAnsi="Times New Roman" w:cs="Times New Roman"/>
          <w:sz w:val="20"/>
          <w:szCs w:val="20"/>
        </w:rPr>
      </w:pPr>
      <w:r w:rsidRPr="00077240">
        <w:rPr>
          <w:rFonts w:ascii="Times New Roman" w:hAnsi="Times New Roman" w:cs="Times New Roman"/>
          <w:sz w:val="20"/>
          <w:szCs w:val="20"/>
        </w:rPr>
        <w:t>K</w:t>
      </w:r>
      <w:r w:rsidRPr="00077240">
        <w:rPr>
          <w:rFonts w:ascii="Times New Roman" w:hAnsi="Times New Roman" w:cs="Times New Roman"/>
          <w:sz w:val="20"/>
          <w:szCs w:val="20"/>
          <w:vertAlign w:val="subscript"/>
        </w:rPr>
        <w:t>leg</w:t>
      </w:r>
      <w:r w:rsidRPr="00077240">
        <w:rPr>
          <w:rFonts w:ascii="Times New Roman" w:hAnsi="Times New Roman" w:cs="Times New Roman"/>
          <w:sz w:val="20"/>
          <w:szCs w:val="20"/>
        </w:rPr>
        <w:t xml:space="preserve"> = [M*π (</w:t>
      </w:r>
      <w:proofErr w:type="spellStart"/>
      <w:r w:rsidRPr="00077240">
        <w:rPr>
          <w:rFonts w:ascii="Times New Roman" w:hAnsi="Times New Roman" w:cs="Times New Roman"/>
          <w:sz w:val="20"/>
          <w:szCs w:val="20"/>
        </w:rPr>
        <w:t>T</w:t>
      </w:r>
      <w:r w:rsidRPr="00077240">
        <w:rPr>
          <w:rFonts w:ascii="Times New Roman" w:hAnsi="Times New Roman" w:cs="Times New Roman"/>
          <w:sz w:val="20"/>
          <w:szCs w:val="20"/>
          <w:vertAlign w:val="subscript"/>
        </w:rPr>
        <w:t>f</w:t>
      </w:r>
      <w:r w:rsidRPr="00077240">
        <w:rPr>
          <w:rFonts w:ascii="Times New Roman" w:hAnsi="Times New Roman" w:cs="Times New Roman"/>
          <w:sz w:val="20"/>
          <w:szCs w:val="20"/>
        </w:rPr>
        <w:t>+T</w:t>
      </w:r>
      <w:r w:rsidRPr="00077240">
        <w:rPr>
          <w:rFonts w:ascii="Times New Roman" w:hAnsi="Times New Roman" w:cs="Times New Roman"/>
          <w:sz w:val="20"/>
          <w:szCs w:val="20"/>
          <w:vertAlign w:val="subscript"/>
        </w:rPr>
        <w:t>c</w:t>
      </w:r>
      <w:proofErr w:type="spellEnd"/>
      <w:r w:rsidRPr="00077240">
        <w:rPr>
          <w:rFonts w:ascii="Times New Roman" w:hAnsi="Times New Roman" w:cs="Times New Roman"/>
          <w:sz w:val="20"/>
          <w:szCs w:val="20"/>
        </w:rPr>
        <w:t>)] / T</w:t>
      </w:r>
      <w:r w:rsidRPr="00077240">
        <w:rPr>
          <w:rFonts w:ascii="Times New Roman" w:hAnsi="Times New Roman" w:cs="Times New Roman"/>
          <w:sz w:val="20"/>
          <w:szCs w:val="20"/>
          <w:vertAlign w:val="subscript"/>
        </w:rPr>
        <w:t>c2</w:t>
      </w:r>
      <w:r w:rsidRPr="00077240">
        <w:rPr>
          <w:rFonts w:ascii="Times New Roman" w:hAnsi="Times New Roman" w:cs="Times New Roman"/>
          <w:sz w:val="20"/>
          <w:szCs w:val="20"/>
        </w:rPr>
        <w:t xml:space="preserve"> [</w:t>
      </w:r>
      <w:proofErr w:type="spellStart"/>
      <w:r w:rsidRPr="00077240">
        <w:rPr>
          <w:rFonts w:ascii="Times New Roman" w:hAnsi="Times New Roman" w:cs="Times New Roman"/>
          <w:sz w:val="20"/>
          <w:szCs w:val="20"/>
        </w:rPr>
        <w:t>T</w:t>
      </w:r>
      <w:r w:rsidRPr="00077240">
        <w:rPr>
          <w:rFonts w:ascii="Times New Roman" w:hAnsi="Times New Roman" w:cs="Times New Roman"/>
          <w:sz w:val="20"/>
          <w:szCs w:val="20"/>
          <w:vertAlign w:val="subscript"/>
        </w:rPr>
        <w:t>f</w:t>
      </w:r>
      <w:r w:rsidRPr="00077240">
        <w:rPr>
          <w:rFonts w:ascii="Times New Roman" w:hAnsi="Times New Roman" w:cs="Times New Roman"/>
          <w:sz w:val="20"/>
          <w:szCs w:val="20"/>
        </w:rPr>
        <w:t>+T</w:t>
      </w:r>
      <w:r w:rsidRPr="00077240">
        <w:rPr>
          <w:rFonts w:ascii="Times New Roman" w:hAnsi="Times New Roman" w:cs="Times New Roman"/>
          <w:sz w:val="20"/>
          <w:szCs w:val="20"/>
          <w:vertAlign w:val="subscript"/>
        </w:rPr>
        <w:t>c</w:t>
      </w:r>
      <w:proofErr w:type="spellEnd"/>
      <w:r w:rsidRPr="00077240">
        <w:rPr>
          <w:rFonts w:ascii="Times New Roman" w:hAnsi="Times New Roman" w:cs="Times New Roman"/>
          <w:sz w:val="20"/>
          <w:szCs w:val="20"/>
        </w:rPr>
        <w:t>/π) - (T</w:t>
      </w:r>
      <w:r w:rsidRPr="00077240">
        <w:rPr>
          <w:rFonts w:ascii="Times New Roman" w:hAnsi="Times New Roman" w:cs="Times New Roman"/>
          <w:sz w:val="20"/>
          <w:szCs w:val="20"/>
          <w:vertAlign w:val="subscript"/>
        </w:rPr>
        <w:t>c</w:t>
      </w:r>
      <w:r w:rsidRPr="00077240">
        <w:rPr>
          <w:rFonts w:ascii="Times New Roman" w:hAnsi="Times New Roman" w:cs="Times New Roman"/>
          <w:sz w:val="20"/>
          <w:szCs w:val="20"/>
        </w:rPr>
        <w:t>/4)]</w:t>
      </w:r>
    </w:p>
    <w:p w14:paraId="237C43B8" w14:textId="77777777" w:rsidR="00835C45" w:rsidRDefault="00835C45" w:rsidP="00835C45">
      <w:pPr>
        <w:spacing w:line="480" w:lineRule="auto"/>
        <w:rPr>
          <w:rFonts w:ascii="Times New Roman" w:hAnsi="Times New Roman" w:cs="Times New Roman"/>
          <w:i/>
          <w:iCs/>
          <w:sz w:val="20"/>
          <w:szCs w:val="20"/>
        </w:rPr>
      </w:pPr>
      <w:r>
        <w:rPr>
          <w:rFonts w:ascii="Times New Roman" w:hAnsi="Times New Roman" w:cs="Times New Roman"/>
          <w:i/>
          <w:iCs/>
          <w:sz w:val="20"/>
          <w:szCs w:val="20"/>
        </w:rPr>
        <w:t>Data Analysis</w:t>
      </w:r>
    </w:p>
    <w:p w14:paraId="713EBF09" w14:textId="40A2BCCB" w:rsidR="00835C45" w:rsidRDefault="00D22DF7"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lastRenderedPageBreak/>
        <w:t>Following v</w:t>
      </w:r>
      <w:r w:rsidR="00835C45">
        <w:rPr>
          <w:rFonts w:ascii="Times New Roman" w:hAnsi="Times New Roman" w:cs="Times New Roman"/>
          <w:sz w:val="20"/>
          <w:szCs w:val="20"/>
        </w:rPr>
        <w:t>isual inspection of raw data distribution using Q-Q plots</w:t>
      </w:r>
      <w:r>
        <w:rPr>
          <w:rFonts w:ascii="Times New Roman" w:hAnsi="Times New Roman" w:cs="Times New Roman"/>
          <w:sz w:val="20"/>
          <w:szCs w:val="20"/>
        </w:rPr>
        <w:t>,</w:t>
      </w:r>
      <w:r w:rsidR="00835C45">
        <w:rPr>
          <w:rFonts w:ascii="Times New Roman" w:hAnsi="Times New Roman" w:cs="Times New Roman"/>
          <w:sz w:val="20"/>
          <w:szCs w:val="20"/>
        </w:rPr>
        <w:t xml:space="preserve"> differential</w:t>
      </w:r>
      <w:r>
        <w:rPr>
          <w:rFonts w:ascii="Times New Roman" w:hAnsi="Times New Roman" w:cs="Times New Roman"/>
          <w:sz w:val="20"/>
          <w:szCs w:val="20"/>
        </w:rPr>
        <w:t>-</w:t>
      </w:r>
      <w:r w:rsidR="00835C45">
        <w:rPr>
          <w:rFonts w:ascii="Times New Roman" w:hAnsi="Times New Roman" w:cs="Times New Roman"/>
          <w:sz w:val="20"/>
          <w:szCs w:val="20"/>
        </w:rPr>
        <w:t xml:space="preserve">RPE (sRPE, RPE-B, RPE-L and RPE-T) and NM performance (CMJ, RSI, ABS and REL) across maturation (status and tempo) were examined using linear mixed modelling (SPSS Statistics v.25, Armonk, NY: IBM Corp). The model investigated differences between fixed effects (Squad; PAH% or cm/year) while using a random effect for player and PAH% or cm/year (intercept; unstructured) to account for repeated-within athlete observations for each dependant variable. To protect against increased risk of a type 1 error due to multiple comparisons, Bonferroni adjusted </w:t>
      </w:r>
      <w:r w:rsidR="00835C45" w:rsidRPr="0056612C">
        <w:rPr>
          <w:rFonts w:ascii="Times New Roman" w:hAnsi="Times New Roman" w:cs="Times New Roman"/>
          <w:i/>
          <w:iCs/>
          <w:sz w:val="20"/>
          <w:szCs w:val="20"/>
        </w:rPr>
        <w:t>p</w:t>
      </w:r>
      <w:r w:rsidR="00835C45">
        <w:rPr>
          <w:rFonts w:ascii="Times New Roman" w:hAnsi="Times New Roman" w:cs="Times New Roman"/>
          <w:sz w:val="20"/>
          <w:szCs w:val="20"/>
        </w:rPr>
        <w:t>-values were reported. Prior to analysis PAH% was mean centred to reflect variance of the intercepts specific to the sample mean and contextualise interpretations. PAH% was also scaled to allow more meaningful interpretations, whereby the model illustrates the estimates for a 5% and 10% deviation in PAH% from the mean</w:t>
      </w:r>
      <w:r w:rsidR="00DD6C54">
        <w:rPr>
          <w:rFonts w:ascii="Times New Roman" w:hAnsi="Times New Roman" w:cs="Times New Roman"/>
          <w:sz w:val="20"/>
          <w:szCs w:val="20"/>
        </w:rPr>
        <w:t>, as these are typical ranges observed within chronological EPPP age-groups.</w:t>
      </w:r>
    </w:p>
    <w:p w14:paraId="0F33AA44" w14:textId="77777777" w:rsidR="00835C45" w:rsidRDefault="00835C45" w:rsidP="00835C45">
      <w:pPr>
        <w:spacing w:line="480" w:lineRule="auto"/>
        <w:jc w:val="both"/>
        <w:rPr>
          <w:rFonts w:ascii="Times New Roman" w:hAnsi="Times New Roman" w:cs="Times New Roman"/>
          <w:sz w:val="20"/>
          <w:szCs w:val="20"/>
        </w:rPr>
      </w:pPr>
    </w:p>
    <w:p w14:paraId="4C17BF0E" w14:textId="29241CB5" w:rsidR="00835C45" w:rsidRPr="00EB6807"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To facilitate practical applications, subsequent non-clinical magnitude based decisions (MBD) were applied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{"citationID":"XZEz89SA","properties":{"formattedCitation":"(Hopkins, 2019)","plainCitation":"(Hopkins, 2019)","noteIndex":0},"citationItems":[{"id":1672,"uris":["http://zotero.org/users/6352108/items/8IMSQTPM"],"itemData":{"id":1672,"type":"webpage","language":"en","title":"Magnitude-based decisions","URL":"http://sportsci.org/2019/index.html","author":[{"family":"Hopkins","given":"Will"}],"accessed":{"date-parts":[["2020",11,11]]},"issued":{"date-parts":[["2019"]]}}}],"schema":"https://github.com/citation-style-language/schema/raw/master/csl-citation.json"}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(Hopkins, 2019)</w:t>
      </w:r>
      <w:r>
        <w:rPr>
          <w:rFonts w:ascii="Times New Roman" w:hAnsi="Times New Roman" w:cs="Times New Roman"/>
          <w:sz w:val="20"/>
          <w:szCs w:val="20"/>
        </w:rPr>
        <w:fldChar w:fldCharType="end"/>
      </w:r>
      <w:r>
        <w:rPr>
          <w:rFonts w:ascii="Times New Roman" w:hAnsi="Times New Roman" w:cs="Times New Roman"/>
          <w:sz w:val="20"/>
          <w:szCs w:val="20"/>
        </w:rPr>
        <w:t xml:space="preserve">. Without empirical anchors for minimum practically important differences (MPID) in differential-RPE variables, a difference of 8 AU was used as this represents the shift required to move a </w:t>
      </w:r>
      <w:proofErr w:type="gramStart"/>
      <w:r>
        <w:rPr>
          <w:rFonts w:ascii="Times New Roman" w:hAnsi="Times New Roman" w:cs="Times New Roman"/>
          <w:sz w:val="20"/>
          <w:szCs w:val="20"/>
        </w:rPr>
        <w:t>players</w:t>
      </w:r>
      <w:proofErr w:type="gramEnd"/>
      <w:r>
        <w:rPr>
          <w:rFonts w:ascii="Times New Roman" w:hAnsi="Times New Roman" w:cs="Times New Roman"/>
          <w:sz w:val="20"/>
          <w:szCs w:val="20"/>
        </w:rPr>
        <w:t xml:space="preserve"> rating beyond halfway to, or from, the next effort category on the scale (CR100® centi-Ma</w:t>
      </w:r>
      <w:r w:rsidR="00DD6C54">
        <w:rPr>
          <w:rFonts w:ascii="Times New Roman" w:hAnsi="Times New Roman" w:cs="Times New Roman"/>
          <w:sz w:val="20"/>
          <w:szCs w:val="20"/>
        </w:rPr>
        <w:t>x.</w:t>
      </w:r>
      <w:r>
        <w:rPr>
          <w:rFonts w:ascii="Times New Roman" w:hAnsi="Times New Roman" w:cs="Times New Roman"/>
          <w:sz w:val="20"/>
          <w:szCs w:val="20"/>
        </w:rPr>
        <w:t xml:space="preserve"> Similarly, in the absence of recognised thresholds for all variables a consistent distribution-based approach (between-player SD multiplied by 0.20) to calculating MPID, was applied to NM performance data in the absence of empirical anchors for adolescent athletes. Probabilities of effects being substantial and effect sizes were reported using standardised thresholds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{"citationID":"OrpaEHbZ","properties":{"formattedCitation":"(Hopkins, 2019)","plainCitation":"(Hopkins, 2019)","noteIndex":0},"citationItems":[{"id":1672,"uris":["http://zotero.org/users/6352108/items/8IMSQTPM"],"itemData":{"id":1672,"type":"webpage","language":"en","title":"Magnitude-based decisions","URL":"http://sportsci.org/2019/index.html","author":[{"family":"Hopkins","given":"Will"}],"accessed":{"date-parts":[["2020",11,11]]},"issued":{"date-parts":[["2019"]]}}}],"schema":"https://github.com/citation-style-language/schema/raw/master/csl-citation.json"}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(Hopkins, 2019)</w:t>
      </w:r>
      <w:r>
        <w:rPr>
          <w:rFonts w:ascii="Times New Roman" w:hAnsi="Times New Roman" w:cs="Times New Roman"/>
          <w:sz w:val="20"/>
          <w:szCs w:val="20"/>
        </w:rPr>
        <w:fldChar w:fldCharType="end"/>
      </w:r>
      <w:r>
        <w:rPr>
          <w:rFonts w:ascii="Times New Roman" w:hAnsi="Times New Roman" w:cs="Times New Roman"/>
          <w:sz w:val="20"/>
          <w:szCs w:val="20"/>
        </w:rPr>
        <w:t>. Uncertainty for all estimates was expressed using 95% confidence intervals (95% CI).</w:t>
      </w:r>
    </w:p>
    <w:p w14:paraId="46095972" w14:textId="77777777" w:rsidR="00835C45" w:rsidRPr="00F22FDF" w:rsidRDefault="00835C45" w:rsidP="00835C45">
      <w:pPr>
        <w:spacing w:line="480" w:lineRule="auto"/>
        <w:rPr>
          <w:rFonts w:ascii="Times New Roman" w:hAnsi="Times New Roman" w:cs="Times New Roman"/>
          <w:b/>
          <w:bCs/>
          <w:sz w:val="20"/>
          <w:szCs w:val="20"/>
        </w:rPr>
      </w:pPr>
    </w:p>
    <w:p w14:paraId="6FB950B0" w14:textId="77777777" w:rsidR="00835C45" w:rsidRPr="00F22FDF" w:rsidRDefault="00835C45" w:rsidP="00835C45">
      <w:pPr>
        <w:spacing w:line="480" w:lineRule="auto"/>
        <w:rPr>
          <w:rFonts w:ascii="Times New Roman" w:hAnsi="Times New Roman" w:cs="Times New Roman"/>
          <w:b/>
          <w:bCs/>
          <w:sz w:val="20"/>
          <w:szCs w:val="20"/>
        </w:rPr>
      </w:pPr>
      <w:r w:rsidRPr="00F22FDF">
        <w:rPr>
          <w:rFonts w:ascii="Times New Roman" w:hAnsi="Times New Roman" w:cs="Times New Roman"/>
          <w:b/>
          <w:bCs/>
          <w:sz w:val="20"/>
          <w:szCs w:val="20"/>
        </w:rPr>
        <w:t>Results</w:t>
      </w:r>
    </w:p>
    <w:p w14:paraId="33596DD1" w14:textId="47130EBF" w:rsidR="00835C45"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In accordance with our data exclusion criteria (&gt;75% response rate), 18 participants were removed prior to analysis, resulting in 37 participants generating data from 3,996 individual training sessions with &gt;350,000 training minutes. Descriptive data for baseline within-age-group physical characteristics, NM performance and mean weekly differential-RPE ratings are presented in Table 1. </w:t>
      </w:r>
    </w:p>
    <w:p w14:paraId="08D6CAC3" w14:textId="77777777" w:rsidR="00835C45" w:rsidRDefault="00835C45" w:rsidP="00835C45">
      <w:pPr>
        <w:spacing w:line="480" w:lineRule="auto"/>
        <w:jc w:val="both"/>
        <w:rPr>
          <w:rFonts w:ascii="Times New Roman" w:hAnsi="Times New Roman" w:cs="Times New Roman"/>
          <w:sz w:val="20"/>
          <w:szCs w:val="20"/>
        </w:rPr>
      </w:pPr>
    </w:p>
    <w:p w14:paraId="332D5A88" w14:textId="77777777" w:rsidR="00835C45" w:rsidRDefault="00835C45" w:rsidP="00835C45">
      <w:pPr>
        <w:spacing w:line="480" w:lineRule="auto"/>
        <w:jc w:val="center"/>
        <w:rPr>
          <w:rFonts w:ascii="Times New Roman" w:hAnsi="Times New Roman" w:cs="Times New Roman"/>
          <w:sz w:val="20"/>
          <w:szCs w:val="20"/>
        </w:rPr>
      </w:pPr>
      <w:r>
        <w:rPr>
          <w:rFonts w:ascii="Times New Roman" w:hAnsi="Times New Roman" w:cs="Times New Roman"/>
          <w:sz w:val="20"/>
          <w:szCs w:val="20"/>
        </w:rPr>
        <w:t>***Table 1 Here***</w:t>
      </w:r>
    </w:p>
    <w:p w14:paraId="6DF6D604" w14:textId="77777777" w:rsidR="00835C45" w:rsidRDefault="00835C45" w:rsidP="00835C45">
      <w:pPr>
        <w:spacing w:line="480" w:lineRule="auto"/>
        <w:jc w:val="both"/>
        <w:rPr>
          <w:rFonts w:ascii="Times New Roman" w:hAnsi="Times New Roman" w:cs="Times New Roman"/>
          <w:sz w:val="20"/>
          <w:szCs w:val="20"/>
        </w:rPr>
      </w:pPr>
    </w:p>
    <w:p w14:paraId="317D43A7" w14:textId="77777777" w:rsidR="00835C45"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On average, within age-groups, players consistently rated training sessions as ‘Strong’ or ‘Heavy’ across all differential-RPE domains (Figure 1). Analysis indicates there was a most likely trivial impact of maturation tempo (cm/year) on all variables across the study (Table 2). There were very likely to most likely trivial differences in maturity status for perceptions of intensity for all domains except for sRPE. Analysis indicates that for sRPE, a 5% increase in maturity status (PAH%), results in players rating sessions 6.9 AU lower and 13.9 AU lower for a 10% maturity shift (Table 2).  </w:t>
      </w:r>
    </w:p>
    <w:p w14:paraId="2D991C3C" w14:textId="77777777" w:rsidR="00835C45" w:rsidRDefault="00835C45" w:rsidP="00835C45">
      <w:pPr>
        <w:spacing w:line="480" w:lineRule="auto"/>
        <w:jc w:val="both"/>
        <w:rPr>
          <w:rFonts w:ascii="Times New Roman" w:hAnsi="Times New Roman" w:cs="Times New Roman"/>
          <w:sz w:val="20"/>
          <w:szCs w:val="20"/>
        </w:rPr>
      </w:pPr>
    </w:p>
    <w:p w14:paraId="65DCF6F9" w14:textId="77777777" w:rsidR="00835C45" w:rsidRDefault="00835C45" w:rsidP="00835C45">
      <w:pPr>
        <w:spacing w:line="480" w:lineRule="auto"/>
        <w:jc w:val="center"/>
        <w:rPr>
          <w:rFonts w:ascii="Times New Roman" w:hAnsi="Times New Roman" w:cs="Times New Roman"/>
          <w:sz w:val="20"/>
          <w:szCs w:val="20"/>
        </w:rPr>
      </w:pPr>
      <w:r>
        <w:rPr>
          <w:rFonts w:ascii="Times New Roman" w:hAnsi="Times New Roman" w:cs="Times New Roman"/>
          <w:sz w:val="20"/>
          <w:szCs w:val="20"/>
        </w:rPr>
        <w:t>*** Figure 1 Here***</w:t>
      </w:r>
    </w:p>
    <w:p w14:paraId="68FB8BBE" w14:textId="77777777" w:rsidR="00835C45" w:rsidRDefault="00835C45" w:rsidP="00835C45">
      <w:pPr>
        <w:spacing w:line="480" w:lineRule="auto"/>
        <w:jc w:val="center"/>
        <w:rPr>
          <w:rFonts w:ascii="Times New Roman" w:hAnsi="Times New Roman" w:cs="Times New Roman"/>
          <w:sz w:val="20"/>
          <w:szCs w:val="20"/>
        </w:rPr>
      </w:pPr>
    </w:p>
    <w:p w14:paraId="152CD756" w14:textId="77777777" w:rsidR="00835C45"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All aspects of NM performance were influenced by maturity status and identified likely to most likely differences, except for relative stiffness (unclear), but no such influence was observed for maturation tempo (Table 2). Both 5% and 10% changes in maturity status (PAH%) most likely resulted in higher CMJ, with likely to very likely differences observed for RSI and ABS. In line with probability distribution interpretations, REL data was unclear and therefore deemed not influenced by maturation (status or tempo).</w:t>
      </w:r>
    </w:p>
    <w:p w14:paraId="744DB383" w14:textId="77777777" w:rsidR="00835C45" w:rsidRDefault="00835C45" w:rsidP="00835C45">
      <w:pPr>
        <w:spacing w:line="480" w:lineRule="auto"/>
        <w:jc w:val="both"/>
        <w:rPr>
          <w:rFonts w:ascii="Times New Roman" w:hAnsi="Times New Roman" w:cs="Times New Roman"/>
          <w:sz w:val="20"/>
          <w:szCs w:val="20"/>
        </w:rPr>
      </w:pPr>
    </w:p>
    <w:p w14:paraId="63ECAE69" w14:textId="77777777" w:rsidR="00835C45" w:rsidRDefault="00835C45" w:rsidP="00835C45">
      <w:pPr>
        <w:jc w:val="center"/>
        <w:rPr>
          <w:rFonts w:ascii="Times New Roman" w:hAnsi="Times New Roman" w:cs="Times New Roman"/>
          <w:sz w:val="20"/>
          <w:szCs w:val="20"/>
        </w:rPr>
      </w:pPr>
      <w:r>
        <w:rPr>
          <w:rFonts w:ascii="Times New Roman" w:hAnsi="Times New Roman" w:cs="Times New Roman"/>
          <w:sz w:val="20"/>
          <w:szCs w:val="20"/>
        </w:rPr>
        <w:t>***Table 2 Here***</w:t>
      </w:r>
    </w:p>
    <w:p w14:paraId="09EBDBDF" w14:textId="77777777" w:rsidR="00835C45" w:rsidRPr="00F22FDF" w:rsidRDefault="00835C45" w:rsidP="00835C45">
      <w:pPr>
        <w:spacing w:line="480" w:lineRule="auto"/>
        <w:rPr>
          <w:rFonts w:ascii="Times New Roman" w:hAnsi="Times New Roman" w:cs="Times New Roman"/>
          <w:b/>
          <w:bCs/>
          <w:sz w:val="20"/>
          <w:szCs w:val="20"/>
        </w:rPr>
      </w:pPr>
    </w:p>
    <w:p w14:paraId="385EB8CD" w14:textId="77777777" w:rsidR="00835C45" w:rsidRDefault="00835C45" w:rsidP="00835C45">
      <w:pPr>
        <w:spacing w:line="480" w:lineRule="auto"/>
        <w:rPr>
          <w:rFonts w:ascii="Times New Roman" w:hAnsi="Times New Roman" w:cs="Times New Roman"/>
          <w:b/>
          <w:bCs/>
          <w:sz w:val="20"/>
          <w:szCs w:val="20"/>
        </w:rPr>
      </w:pPr>
      <w:r w:rsidRPr="00F22FDF">
        <w:rPr>
          <w:rFonts w:ascii="Times New Roman" w:hAnsi="Times New Roman" w:cs="Times New Roman"/>
          <w:b/>
          <w:bCs/>
          <w:sz w:val="20"/>
          <w:szCs w:val="20"/>
        </w:rPr>
        <w:t>Discussion</w:t>
      </w:r>
    </w:p>
    <w:p w14:paraId="24E4728E" w14:textId="130434CD" w:rsidR="00835C45"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The aim of this </w:t>
      </w:r>
      <w:r w:rsidR="00B95B0C">
        <w:rPr>
          <w:rFonts w:ascii="Times New Roman" w:hAnsi="Times New Roman" w:cs="Times New Roman"/>
          <w:sz w:val="20"/>
          <w:szCs w:val="20"/>
        </w:rPr>
        <w:t xml:space="preserve">single </w:t>
      </w:r>
      <w:r>
        <w:rPr>
          <w:rFonts w:ascii="Times New Roman" w:hAnsi="Times New Roman" w:cs="Times New Roman"/>
          <w:sz w:val="20"/>
          <w:szCs w:val="20"/>
        </w:rPr>
        <w:t xml:space="preserve">cohort study was to establish whether maturation (status and/or tempo) influenced perceived psycho-physiological response and NM performance response to typical training loads. Primary findings </w:t>
      </w:r>
      <w:r w:rsidR="00DD6C54">
        <w:rPr>
          <w:rFonts w:ascii="Times New Roman" w:hAnsi="Times New Roman" w:cs="Times New Roman"/>
          <w:sz w:val="20"/>
          <w:szCs w:val="20"/>
        </w:rPr>
        <w:t>are</w:t>
      </w:r>
      <w:r>
        <w:rPr>
          <w:rFonts w:ascii="Times New Roman" w:hAnsi="Times New Roman" w:cs="Times New Roman"/>
          <w:sz w:val="20"/>
          <w:szCs w:val="20"/>
        </w:rPr>
        <w:t xml:space="preserve"> a) overall session intensity (sRPE) was substantially influenced by maturity status, but not tempo; and b) maturity status (not tempo) substantially influences NM performance over the course of a season. Whilst the latter is less surprising, the former is novel and may provide practical insight for managing training load prescription in academy settings. </w:t>
      </w:r>
    </w:p>
    <w:p w14:paraId="6B0B8282" w14:textId="77777777" w:rsidR="00835C45" w:rsidRDefault="00835C45" w:rsidP="00835C45">
      <w:pPr>
        <w:spacing w:line="480" w:lineRule="auto"/>
        <w:jc w:val="both"/>
        <w:rPr>
          <w:rFonts w:ascii="Times New Roman" w:hAnsi="Times New Roman" w:cs="Times New Roman"/>
          <w:sz w:val="20"/>
          <w:szCs w:val="20"/>
        </w:rPr>
      </w:pPr>
    </w:p>
    <w:p w14:paraId="339A95A9" w14:textId="7EE12947" w:rsidR="00835C45"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Mean pooled sRPE ratings were 49.2 AU which compares to previous studies involving players of similar age groups that have used either the CR-100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{"citationID":"a1t2k80dlo","properties":{"formattedCitation":"(Wright et al., 2020)","plainCitation":"(Wright et al., 2020)","noteIndex":0},"citationItems":[{"id":1569,"uris":["http://zotero.org/users/6352108/items/I6FYNHZ9"],"itemData":{"id":1569,"type":"article-journal","abstract":"&lt;section class=\"abstract\"&gt;&lt;p&gt;&lt;em&gt;&lt;strong&gt;Purpose&lt;/strong&gt;:&lt;/em&gt; To understand the validity of differential ratings of perceived exertion (dRPE) as a measure of girls’ training and match internal loads. &lt;em&gt;&lt;strong&gt;Methods&lt;/strong&gt;:&lt;/em&gt; Using the centiMax scale (CR100), session dRPE for breathlessness (sRPE-B) and leg muscle exertion (sRPE-L) were collected across a season of training (soccer, resistance, and fitness) and matches from 33 players (15 [1] y). Differences and associations between dRPE were examined using mixed and general linear models. The authors’ minimal practical important difference was 8 arbitrary units (AU). &lt;em&gt;&lt;strong&gt;Results&lt;/strong&gt;:&lt;/em&gt; Mean (AU [SD] </w:instrText>
      </w:r>
      <w:r w:rsidR="00DF0C2E">
        <w:rPr>
          <w:rFonts w:ascii="Cambria Math" w:hAnsi="Cambria Math" w:cs="Cambria Math"/>
          <w:sz w:val="20"/>
          <w:szCs w:val="20"/>
        </w:rPr>
        <w:instrText>∼</w:instrText>
      </w:r>
      <w:r w:rsidR="00DF0C2E">
        <w:rPr>
          <w:rFonts w:ascii="Times New Roman" w:hAnsi="Times New Roman" w:cs="Times New Roman"/>
          <w:sz w:val="20"/>
          <w:szCs w:val="20"/>
        </w:rPr>
        <w:instrText xml:space="preserve">16) sRPE-B and sRPE-L were 66 and 61 for matches, 51 and 49 for soccer, 86 and 67 for fitness, and 45 and 58 for resistance, respectively. Session RPE-B was rated most likely harder than sRPE-L for fitness (19 AU; 90% confidence limits: ±7) and most likely easier for resistance (−13; ±2). Match (5; ±4) and soccer (−3; ±2) differences were likely to most likely trivial. The within-player relationships between sRPE-B and sRPE-L were very likely moderate for matches (&lt;em&gt;r&lt;/em&gt; = .44; 90% confidence limits: ±.12) and resistance training (.38; ±.06), likely large for fitness training (.51; ±.22), and most likely large for soccer training (.56; ±.03). Shared variance ranged from 14% to 35%. &lt;em&gt;&lt;strong&gt;Conclusions&lt;/strong&gt;:&lt;/em&gt; Practically meaningful differences between dRPE following physical training sessions coupled with low shared variance in all training types and matches suggest that sRPE-B and sRPE-L represent unique sensory inputs in girls’ soccer players. The data provide evidence for the face and construct validity of dRPE as a measure of internal load in this population.&lt;/p&gt;&lt;/section&gt;","container-title":"International Journal of Sports Physiology and Performance","DOI":"10.1123/ijspp.2019-0595","ISSN":"1555-0273, 1555-0265","issue":"aop","language":"en_US","note":"publisher: Human Kinetics\nsection: International Journal of Sports Physiology and Performance","page":"1-9","source":"journals-humankinetics-com.yorksj.idm.oclc.org","title":"Differential Ratings of Perceived Match and Training Exertion in Girls’ Soccer","volume":"-1","author":[{"family":"Wright","given":"Matthew"},{"family":"Songane","given":"Francisco"},{"family":"Emmonds","given":"Stacey"},{"family":"Chesterton","given":"Paul"},{"family":"Weston","given":"Matthew"},{"family":"Mclaren","given":"Shaun J."}],"issued":{"date-parts":[["2020",9,18]]}}}],"schema":"https://github.com/citation-style-language/schema/raw/master/csl-citation.json"} </w:instrText>
      </w:r>
      <w:r>
        <w:rPr>
          <w:rFonts w:ascii="Times New Roman" w:hAnsi="Times New Roman" w:cs="Times New Roman"/>
          <w:sz w:val="20"/>
          <w:szCs w:val="20"/>
        </w:rPr>
        <w:fldChar w:fldCharType="separate"/>
      </w:r>
      <w:r w:rsidR="00AA1E68">
        <w:rPr>
          <w:rFonts w:ascii="Times New Roman" w:hAnsi="Times New Roman" w:cs="Times New Roman"/>
          <w:sz w:val="20"/>
        </w:rPr>
        <w:t>(Wright et al., 2020)</w:t>
      </w:r>
      <w:r>
        <w:rPr>
          <w:rFonts w:ascii="Times New Roman" w:hAnsi="Times New Roman" w:cs="Times New Roman"/>
          <w:sz w:val="20"/>
          <w:szCs w:val="20"/>
        </w:rPr>
        <w:fldChar w:fldCharType="end"/>
      </w:r>
      <w:r>
        <w:rPr>
          <w:rFonts w:ascii="Times New Roman" w:hAnsi="Times New Roman" w:cs="Times New Roman"/>
          <w:sz w:val="20"/>
          <w:szCs w:val="20"/>
        </w:rPr>
        <w:t xml:space="preserve"> or CR-10 scale which can be subsequently converted to facilitate CR-100 comparisons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{"citationID":"Z10GLzyk","properties":{"formattedCitation":"(Clemente et al., 2019)","plainCitation":"(Clemente et al., 2019)","noteIndex":0},"citationItems":[{"id":504,"uris":["http://zotero.org/users/6352108/items/DXZNAIK8"],"itemData":{"id":504,"type":"article-journal","abstract":"The purpose of this study was to examine the interchangeability of a new perceived recovery status scale (PRS) of 100 points through a comparison to the original 10-point version. This study also aimed to test the interchangeability of CR100 scale (Borg's rate of perceived exertion scale) in comparison to the CR10. Twenty-ﬁve male elite youth soccer players (age: 18.0 ± 0.5 years old; body mass: 70.1 ± 6.7 kg; height: 177.8 ± 6.5 cm; experience: 11.7 ± 1.2 years) from the same team competing in the ﬁrst national under-19 competition participated in this study. During two consecutive weeks, the players completed PRS (both 10- and 100-points) and CR10 and CR100 scales. Nearly perfect relationships were observed between 0-to-10 and 0-to-100 scales, both for recovery status (r = 0.96, conﬁdence interval [0.95;0.97]) and ratings of perceived exertion (RPE) (r = 0.97 [0.97;0.98]). Moreover, almost 95% of individuals showed nearly-perfect-to-perfect associations between 0-to10 and 0-to100 in terms of RPE and recovery scales. Both a PRS of 100 points and CR100 can be used interchangeably with a PRS of 10 points and CR10, respectively.","container-title":"Physiology &amp; Behavior","DOI":"10.1016/j.physbeh.2019.112641","ISSN":"00319384","journalAbbreviation":"Physiology &amp; Behavior","language":"en","page":"112641","source":"DOI.org (Crossref)","title":"Ratings of perceived recovery and exertion in elite youth soccer players: Interchangeability of 10-point and 100-point scales","title-short":"Ratings of perceived recovery and exertion in elite youth soccer players","volume":"210","author":[{"family":"Clemente","given":"Filipe Manuel"},{"family":"Rabbani","given":"Alireza"},{"family":"Araújo","given":"João Pedro"}],"issued":{"date-parts":[["2019",10]]}}}],"schema":"https://github.com/citation-style-language/schema/raw/master/csl-citation.json"}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(Clemente et al., 2019)</w:t>
      </w:r>
      <w:r>
        <w:rPr>
          <w:rFonts w:ascii="Times New Roman" w:hAnsi="Times New Roman" w:cs="Times New Roman"/>
          <w:sz w:val="20"/>
          <w:szCs w:val="20"/>
        </w:rPr>
        <w:fldChar w:fldCharType="end"/>
      </w:r>
      <w:r>
        <w:rPr>
          <w:rFonts w:ascii="Times New Roman" w:hAnsi="Times New Roman" w:cs="Times New Roman"/>
          <w:sz w:val="20"/>
          <w:szCs w:val="20"/>
        </w:rPr>
        <w:t xml:space="preserve">. Figure 1 illustrates a progressive negative trend in mean sRPE values </w:t>
      </w:r>
      <w:r w:rsidR="00DD6C54">
        <w:rPr>
          <w:rFonts w:ascii="Times New Roman" w:hAnsi="Times New Roman" w:cs="Times New Roman"/>
          <w:sz w:val="20"/>
          <w:szCs w:val="20"/>
        </w:rPr>
        <w:t>across</w:t>
      </w:r>
      <w:r>
        <w:rPr>
          <w:rFonts w:ascii="Times New Roman" w:hAnsi="Times New Roman" w:cs="Times New Roman"/>
          <w:sz w:val="20"/>
          <w:szCs w:val="20"/>
        </w:rPr>
        <w:t xml:space="preserve"> age-groups, which is likely explained by an increased distribution of more biologically advanced players reporting lower sRPE values in older age-groups. Analysis indicates that a 5% increase in PAH%, resulted in a reduction of ~7AU per session, with a ~14AU difference for a 10% difference in PAH% (Table 2). On face value, these findings may appear trivial as within-session inter-individual differences of 7-14AU are common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{"citationID":"a1acpq3nvs0","properties":{"formattedCitation":"(McLaren, 2017)","plainCitation":"(McLaren, 2017)","noteIndex":0},"citationItems":[{"id":1663,"uris":["http://zotero.org/users/6352108/items/TCHG2N7A"],"itemData":{"id":1663,"type":"thesis","event-place":"Middlesbrough, UK","publisher":"Teesside University","publisher-place":"Middlesbrough, UK","title":"The application of differential ratings of perceived exertion to training monitoring in team sports","author":[{"family":"McLaren","given":"Shaun J."}],"issued":{"date-parts":[["2017"]]}}}],"schema":"https://github.com/citation-style-language/schema/raw/master/csl-citation.json"} </w:instrText>
      </w:r>
      <w:r>
        <w:rPr>
          <w:rFonts w:ascii="Times New Roman" w:hAnsi="Times New Roman" w:cs="Times New Roman"/>
          <w:sz w:val="20"/>
          <w:szCs w:val="20"/>
        </w:rPr>
        <w:fldChar w:fldCharType="separate"/>
      </w:r>
      <w:r w:rsidR="00AA1E68" w:rsidRPr="00AA1E68">
        <w:rPr>
          <w:rFonts w:ascii="Times New Roman" w:hAnsi="Times New Roman" w:cs="Times New Roman"/>
          <w:sz w:val="20"/>
        </w:rPr>
        <w:t>(McLaren, 2017)</w:t>
      </w:r>
      <w:r>
        <w:rPr>
          <w:rFonts w:ascii="Times New Roman" w:hAnsi="Times New Roman" w:cs="Times New Roman"/>
          <w:sz w:val="20"/>
          <w:szCs w:val="20"/>
        </w:rPr>
        <w:fldChar w:fldCharType="end"/>
      </w:r>
      <w:r>
        <w:rPr>
          <w:rFonts w:ascii="Times New Roman" w:hAnsi="Times New Roman" w:cs="Times New Roman"/>
          <w:sz w:val="20"/>
          <w:szCs w:val="20"/>
        </w:rPr>
        <w:t xml:space="preserve">. However, these values represent perceived intensity across the full season, comprising of approximately three sessions each week. Therefore, </w:t>
      </w:r>
      <w:r w:rsidR="00DD6C54">
        <w:rPr>
          <w:rFonts w:ascii="Times New Roman" w:hAnsi="Times New Roman" w:cs="Times New Roman"/>
          <w:sz w:val="20"/>
          <w:szCs w:val="20"/>
        </w:rPr>
        <w:t xml:space="preserve">less mature </w:t>
      </w:r>
      <w:r>
        <w:rPr>
          <w:rFonts w:ascii="Times New Roman" w:hAnsi="Times New Roman" w:cs="Times New Roman"/>
          <w:sz w:val="20"/>
          <w:szCs w:val="20"/>
        </w:rPr>
        <w:t xml:space="preserve">players consistently </w:t>
      </w:r>
      <w:r w:rsidR="00DD6C54">
        <w:rPr>
          <w:rFonts w:ascii="Times New Roman" w:hAnsi="Times New Roman" w:cs="Times New Roman"/>
          <w:sz w:val="20"/>
          <w:szCs w:val="20"/>
        </w:rPr>
        <w:t>perceive training</w:t>
      </w:r>
      <w:r>
        <w:rPr>
          <w:rFonts w:ascii="Times New Roman" w:hAnsi="Times New Roman" w:cs="Times New Roman"/>
          <w:sz w:val="20"/>
          <w:szCs w:val="20"/>
        </w:rPr>
        <w:t xml:space="preserve"> </w:t>
      </w:r>
      <w:r w:rsidR="00DD6C54">
        <w:rPr>
          <w:rFonts w:ascii="Times New Roman" w:hAnsi="Times New Roman" w:cs="Times New Roman"/>
          <w:sz w:val="20"/>
          <w:szCs w:val="20"/>
        </w:rPr>
        <w:t>more intense</w:t>
      </w:r>
      <w:r>
        <w:rPr>
          <w:rFonts w:ascii="Times New Roman" w:hAnsi="Times New Roman" w:cs="Times New Roman"/>
          <w:sz w:val="20"/>
          <w:szCs w:val="20"/>
        </w:rPr>
        <w:t xml:space="preserve"> than more biologically advanced teammates of a similar age. When accrued, these small inter-individual differences may generate a substantial variation in training load over prolonged periods (e.g., week, month, term). </w:t>
      </w:r>
    </w:p>
    <w:p w14:paraId="4C6C458B" w14:textId="77777777" w:rsidR="00835C45" w:rsidRDefault="00835C45" w:rsidP="00835C45">
      <w:pPr>
        <w:spacing w:line="480" w:lineRule="auto"/>
        <w:jc w:val="both"/>
        <w:rPr>
          <w:rFonts w:ascii="Times New Roman" w:hAnsi="Times New Roman" w:cs="Times New Roman"/>
          <w:sz w:val="20"/>
          <w:szCs w:val="20"/>
        </w:rPr>
      </w:pPr>
    </w:p>
    <w:p w14:paraId="70B4B478" w14:textId="4D3EA146" w:rsidR="00835C45"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This is a noteworthy finding based on evidence suggesting chronological age-groups within this range are comprised of players varying in PAH% by 10-15%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{"citationID":"R4oc9TJB","properties":{"formattedCitation":"(Figueiredo et al., 2010)","plainCitation":"(Figueiredo et al., 2010)","noteIndex":0},"citationItems":[{"id":1311,"uris":["http://zotero.org/users/6352108/items/5YE8HZG5"],"itemData":{"id":1311,"type":"article-journal","container-title":"Pediatric Exercise Science","DOI":"10.1123/pes.22.4.596","ISSN":"0899-8493, 1543-2920","issue":"4","language":"en_US","note":"publisher: Human Kinetics, Inc.","page":"596-612","source":"journals-humankinetics-com.yorksj.idm.oclc.org","title":"Size and Maturity Mismatch in Youth Soccer Players 11- to 14-Years-Old","volume":"22","author":[{"family":"Figueiredo","given":"António J."},{"family":"Silva","given":"Manuel J. Coelho","dropping-particle":"e"},{"family":"Cumming","given":"Sean P."},{"family":"Malina","given":"Robert M."}],"issued":{"date-parts":[["2010",11,1]]}}}],"schema":"https://github.com/citation-style-language/schema/raw/master/csl-citation.json"}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(Figueiredo et al., 2010)</w:t>
      </w:r>
      <w:r>
        <w:rPr>
          <w:rFonts w:ascii="Times New Roman" w:hAnsi="Times New Roman" w:cs="Times New Roman"/>
          <w:sz w:val="20"/>
          <w:szCs w:val="20"/>
        </w:rPr>
        <w:fldChar w:fldCharType="end"/>
      </w:r>
      <w:r>
        <w:rPr>
          <w:rFonts w:ascii="Times New Roman" w:hAnsi="Times New Roman" w:cs="Times New Roman"/>
          <w:sz w:val="20"/>
          <w:szCs w:val="20"/>
        </w:rPr>
        <w:t xml:space="preserve"> with injury incidence also peaking at the same time </w:t>
      </w:r>
      <w:r>
        <w:rPr>
          <w:rFonts w:ascii="Times New Roman" w:hAnsi="Times New Roman" w:cs="Times New Roman"/>
          <w:sz w:val="20"/>
          <w:szCs w:val="20"/>
        </w:rPr>
        <w:lastRenderedPageBreak/>
        <w:fldChar w:fldCharType="begin"/>
      </w:r>
      <w:r w:rsidR="00DF0C2E">
        <w:rPr>
          <w:rFonts w:ascii="Times New Roman" w:hAnsi="Times New Roman" w:cs="Times New Roman"/>
          <w:sz w:val="20"/>
          <w:szCs w:val="20"/>
        </w:rPr>
        <w:instrText xml:space="preserve"> ADDIN ZOTERO_ITEM CSL_CITATION {"citationID":"Lk6Sjczi","properties":{"formattedCitation":"(Rommers et al., 2020)","plainCitation":"(Rommers et al., 2020)","noteIndex":0},"citationItems":[{"id":230,"uris":["http://zotero.org/users/6352108/items/JT7LNKFM"],"itemData":{"id":230,"type":"article-journal","abstract":"Objectives: This study investigated anthropometric measures and growth as risk factors for overuse and acute injuries in younger (U10–U12) and older (U13–U15) elite level soccer players. Design: Prospective cohort study.\nMethods: Height, weight, and sitting height were measured at the start and the end of the 2016–2017 competitive season and growth velocities were calculated. Throughout the season, injuries were registered continuously by the (para-)medical staff of the included clubs. We analyzed the injury risk using multilevel Poisson regression models, accounting for club and team clustering.\nResults: Of the included 314 players (11.7 ± 1.7 years of age), 160 players sustained 133 overuse and 163 acute injuries (i.e. 106 injuries in 69 players of the younger group, 190 in 91 players of the older group). In the younger group, risk of overuse injuries was associated with an increase in leg length over the season (incidence rate ratio (IRR) 1.620 [95% CI 1.230–2.117]) and risk of acute injuries with relatively younger age (IRR 1.003 [95% CI 1.000–1.006]). In the older group, a higher leg length was associated with an increased risk of overuse injuries (IRR 1.055 [95% CI 1.011–1.108]), and a higher weight and a lower growth rate with an increased risk of acute injuries (IRR 1.043 [95% CI 1.021–1.067] and 0.903 [95% CI 0.831–0.981], respectively).\nConclusions: Injury risk factors differ by age group and type of injury. The age-speciﬁc anthropometric and growth-related risk factors should be monitored and these risk proﬁles should be considered to manage injury risk effectively.","container-title":"Journal of Science and Medicine in Sport","DOI":"10.1016/j.jsams.2019.10.001","ISSN":"14402440","issue":"3","journalAbbreviation":"Journal of Science and Medicine in Sport","language":"en","page":"246-251","source":"DOI.org (Crossref)","title":"Risk of acute and overuse injuries in youth elite soccer players: Body size and growth matter","title-short":"Risk of acute and overuse injuries in youth elite soccer players","volume":"23","author":[{"family":"Rommers","given":"Nikki"},{"family":"Rössler","given":"Roland"},{"family":"Goossens","given":"Lennert"},{"family":"Vaeyens","given":"Roel"},{"family":"Lenoir","given":"Matthieu"},{"family":"Witvrouw","given":"Erik"},{"family":"D’Hondt","given":"Eva"}],"issued":{"date-parts":[["2020",3]]}}}],"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(Rommers et al., 2020)</w:t>
      </w:r>
      <w:r>
        <w:rPr>
          <w:rFonts w:ascii="Times New Roman" w:hAnsi="Times New Roman" w:cs="Times New Roman"/>
          <w:sz w:val="20"/>
          <w:szCs w:val="20"/>
        </w:rPr>
        <w:fldChar w:fldCharType="end"/>
      </w:r>
      <w:r>
        <w:rPr>
          <w:rFonts w:ascii="Times New Roman" w:hAnsi="Times New Roman" w:cs="Times New Roman"/>
          <w:sz w:val="20"/>
          <w:szCs w:val="20"/>
        </w:rPr>
        <w:t xml:space="preserve">. Although very much depicted as a ‘worst case scenario’, figure 2 </w:t>
      </w:r>
      <w:r w:rsidR="00DD6C54">
        <w:rPr>
          <w:rFonts w:ascii="Times New Roman" w:hAnsi="Times New Roman" w:cs="Times New Roman"/>
          <w:sz w:val="20"/>
          <w:szCs w:val="20"/>
        </w:rPr>
        <w:t>forecasts</w:t>
      </w:r>
      <w:r>
        <w:rPr>
          <w:rFonts w:ascii="Times New Roman" w:hAnsi="Times New Roman" w:cs="Times New Roman"/>
          <w:sz w:val="20"/>
          <w:szCs w:val="20"/>
        </w:rPr>
        <w:t xml:space="preserve"> the potential </w:t>
      </w:r>
      <w:r w:rsidR="00DD6C54">
        <w:rPr>
          <w:rFonts w:ascii="Times New Roman" w:hAnsi="Times New Roman" w:cs="Times New Roman"/>
          <w:sz w:val="20"/>
          <w:szCs w:val="20"/>
        </w:rPr>
        <w:t xml:space="preserve">annual </w:t>
      </w:r>
      <w:r>
        <w:rPr>
          <w:rFonts w:ascii="Times New Roman" w:hAnsi="Times New Roman" w:cs="Times New Roman"/>
          <w:sz w:val="20"/>
          <w:szCs w:val="20"/>
        </w:rPr>
        <w:t>self-reported load differences between players of different maturity status. The general consensus from training load research is that doing too much, or too little</w:t>
      </w:r>
      <w:r w:rsidR="00DD6C54">
        <w:rPr>
          <w:rFonts w:ascii="Times New Roman" w:hAnsi="Times New Roman" w:cs="Times New Roman"/>
          <w:sz w:val="20"/>
          <w:szCs w:val="20"/>
        </w:rPr>
        <w:t>,</w:t>
      </w:r>
      <w:r>
        <w:rPr>
          <w:rFonts w:ascii="Times New Roman" w:hAnsi="Times New Roman" w:cs="Times New Roman"/>
          <w:sz w:val="20"/>
          <w:szCs w:val="20"/>
        </w:rPr>
        <w:t xml:space="preserve"> is associated with increased injury risk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{"citationID":"gkeYl68r","properties":{"formattedCitation":"(Kalkhoven et al., 2021)","plainCitation":"(Kalkhoven et al., 2021)","noteIndex":0},"citationItems":[{"id":1480,"uris":["http://zotero.org/users/6352108/items/5R9YVZMM"],"itemData":{"id":1480,"type":"article-journal","abstract":"Causal pathways between training loads and the mechanisms of tissue damage and athletic injury are poorly understood. Here, the relation between specific training load measures and metrics, and causal pathways of gradual onset and traumatic injury are examined. Currently, a wide variety of internal and external training load measures and metrics exist, with many of these being commonly utilized to evaluate injury risk. These measures and metrics can conceptually be related to athletic injury through the mechanical load-response pathway, the psycho-physiological load-response pathway, or both. However, the contributions of these pathways to injury vary. Importantly, tissue fatigue damage and trauma through the mechanical load-response pathway is poorly understood. Furthermore, considerable challenges in quantifying this pathway exist within applied settings, evidenced by a notable absence of validation between current training load measures and tissue-level mechanical loads. Within this context, the accurate quantification of mechanical loads holds considerable importance for the estimation of tissue damage and the development of more thorough understandings of injury risk. Despite internal load measures of psycho-physiological load speculatively being conceptually linked to athletic injury through training intensity and the effects of psycho-physiological fatigue, these measures are likely too far removed from injury causation to provide meaningful, reliable relationships with injury. Finally, we used a common training load metric as a case study to show how the absence of a sound conceptual rationale and spurious links to causal mechanisms can disclose the weaknesses of candidate measures as tools for altering the likelihood of injuries, aiding the future development of more refined injury risk assessment methods.","container-title":"Sports Medicine","DOI":"10.1007/s40279-020-01413-6","ISSN":"1179-2035","journalAbbreviation":"Sports Med","language":"en","source":"Springer Link","title":"Training Load and Injury: Causal Pathways and Future Directions","title-short":"Training Load and Injury","URL":"https://doi.org/10.1007/s40279-020-01413-6","author":[{"family":"Kalkhoven","given":"Judd T."},{"family":"Watsford","given":"Mark L."},{"family":"Coutts","given":"Aaron J."},{"family":"Edwards","given":"W. Brent"},{"family":"Impellizzeri","given":"Franco M."}],"accessed":{"date-parts":[["2021",1,6]]},"issued":{"date-parts":[["2021",1,5]]}}}],"schema":"https://github.com/citation-style-language/schema/raw/master/csl-citation.json"}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(Kalkhoven et al., 2021)</w:t>
      </w:r>
      <w:r>
        <w:rPr>
          <w:rFonts w:ascii="Times New Roman" w:hAnsi="Times New Roman" w:cs="Times New Roman"/>
          <w:sz w:val="20"/>
          <w:szCs w:val="20"/>
        </w:rPr>
        <w:fldChar w:fldCharType="end"/>
      </w:r>
      <w:r>
        <w:rPr>
          <w:rFonts w:ascii="Times New Roman" w:hAnsi="Times New Roman" w:cs="Times New Roman"/>
          <w:sz w:val="20"/>
          <w:szCs w:val="20"/>
        </w:rPr>
        <w:t>. The omission of injury data in the current study prevents interpretations into which of the extremes depicted are more ‘at risk’</w:t>
      </w:r>
      <w:r w:rsidR="00DD6C54">
        <w:rPr>
          <w:rFonts w:ascii="Times New Roman" w:hAnsi="Times New Roman" w:cs="Times New Roman"/>
          <w:sz w:val="20"/>
          <w:szCs w:val="20"/>
        </w:rPr>
        <w:t>, but it clearly illustrates that not all players are experiencing the same dose-response.</w:t>
      </w:r>
    </w:p>
    <w:p w14:paraId="5F7C4AAA" w14:textId="77777777" w:rsidR="00835C45" w:rsidRDefault="00835C45" w:rsidP="00835C45">
      <w:pPr>
        <w:spacing w:line="480" w:lineRule="auto"/>
        <w:jc w:val="both"/>
        <w:rPr>
          <w:rFonts w:ascii="Times New Roman" w:hAnsi="Times New Roman" w:cs="Times New Roman"/>
          <w:sz w:val="20"/>
          <w:szCs w:val="20"/>
        </w:rPr>
      </w:pPr>
    </w:p>
    <w:p w14:paraId="3E494B54" w14:textId="77777777" w:rsidR="00835C45" w:rsidRDefault="00835C45" w:rsidP="00835C45">
      <w:pPr>
        <w:spacing w:line="480" w:lineRule="auto"/>
        <w:jc w:val="center"/>
        <w:rPr>
          <w:rFonts w:ascii="Times New Roman" w:hAnsi="Times New Roman" w:cs="Times New Roman"/>
          <w:sz w:val="20"/>
          <w:szCs w:val="20"/>
        </w:rPr>
      </w:pPr>
      <w:r>
        <w:rPr>
          <w:rFonts w:ascii="Times New Roman" w:hAnsi="Times New Roman" w:cs="Times New Roman"/>
          <w:sz w:val="20"/>
          <w:szCs w:val="20"/>
        </w:rPr>
        <w:t>***Figure 2 Here***</w:t>
      </w:r>
    </w:p>
    <w:p w14:paraId="1CDB9AC0" w14:textId="77777777" w:rsidR="00835C45" w:rsidRDefault="00835C45" w:rsidP="00835C45">
      <w:pPr>
        <w:spacing w:line="480" w:lineRule="auto"/>
        <w:jc w:val="both"/>
        <w:rPr>
          <w:rFonts w:ascii="Times New Roman" w:hAnsi="Times New Roman" w:cs="Times New Roman"/>
          <w:sz w:val="20"/>
          <w:szCs w:val="20"/>
        </w:rPr>
      </w:pPr>
    </w:p>
    <w:p w14:paraId="2FCC8B4C" w14:textId="2D550B6F" w:rsidR="00835C45"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No such substantial differences were observed when independent psycho-physiological mediators were observed using differential-RPE variables (Table 2). There is a paucity of research exploring the use of differential-RPE within adolescent soccer with only one study showing moderate to large (</w:t>
      </w:r>
      <w:r w:rsidRPr="00F70272">
        <w:rPr>
          <w:rFonts w:ascii="Times New Roman" w:hAnsi="Times New Roman" w:cs="Times New Roman"/>
          <w:i/>
          <w:iCs/>
          <w:sz w:val="20"/>
          <w:szCs w:val="20"/>
        </w:rPr>
        <w:t>r</w:t>
      </w:r>
      <w:r>
        <w:rPr>
          <w:rFonts w:ascii="Times New Roman" w:hAnsi="Times New Roman" w:cs="Times New Roman"/>
          <w:sz w:val="20"/>
          <w:szCs w:val="20"/>
        </w:rPr>
        <w:t>. .59-.69) associations between sRPE and differential mediators</w:t>
      </w:r>
      <w:r w:rsidR="00DD6C54">
        <w:rPr>
          <w:rFonts w:ascii="Times New Roman" w:hAnsi="Times New Roman" w:cs="Times New Roman"/>
          <w:sz w:val="20"/>
          <w:szCs w:val="20"/>
        </w:rPr>
        <w:t xml:space="preserve">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{"citationID":"a3h5gqmuvv","properties":{"formattedCitation":"(Wright et al., 2020)","plainCitation":"(Wright et al., 2020)","noteIndex":0},"citationItems":[{"id":1569,"uris":["http://zotero.org/users/6352108/items/I6FYNHZ9"],"itemData":{"id":1569,"type":"article-journal","abstract":"&lt;section class=\"abstract\"&gt;&lt;p&gt;&lt;em&gt;&lt;strong&gt;Purpose&lt;/strong&gt;:&lt;/em&gt; To understand the validity of differential ratings of perceived exertion (dRPE) as a measure of girls’ training and match internal loads. &lt;em&gt;&lt;strong&gt;Methods&lt;/strong&gt;:&lt;/em&gt; Using the centiMax scale (CR100), session dRPE for breathlessness (sRPE-B) and leg muscle exertion (sRPE-L) were collected across a season of training (soccer, resistance, and fitness) and matches from 33 players (15 [1] y). Differences and associations between dRPE were examined using mixed and general linear models. The authors’ minimal practical important difference was 8 arbitrary units (AU). &lt;em&gt;&lt;strong&gt;Results&lt;/strong&gt;:&lt;/em&gt; Mean (AU [SD] </w:instrText>
      </w:r>
      <w:r w:rsidR="00DF0C2E">
        <w:rPr>
          <w:rFonts w:ascii="Cambria Math" w:hAnsi="Cambria Math" w:cs="Cambria Math"/>
          <w:sz w:val="20"/>
          <w:szCs w:val="20"/>
        </w:rPr>
        <w:instrText>∼</w:instrText>
      </w:r>
      <w:r w:rsidR="00DF0C2E">
        <w:rPr>
          <w:rFonts w:ascii="Times New Roman" w:hAnsi="Times New Roman" w:cs="Times New Roman"/>
          <w:sz w:val="20"/>
          <w:szCs w:val="20"/>
        </w:rPr>
        <w:instrText xml:space="preserve">16) sRPE-B and sRPE-L were 66 and 61 for matches, 51 and 49 for soccer, 86 and 67 for fitness, and 45 and 58 for resistance, respectively. Session RPE-B was rated most likely harder than sRPE-L for fitness (19 AU; 90% confidence limits: ±7) and most likely easier for resistance (−13; ±2). Match (5; ±4) and soccer (−3; ±2) differences were likely to most likely trivial. The within-player relationships between sRPE-B and sRPE-L were very likely moderate for matches (&lt;em&gt;r&lt;/em&gt; = .44; 90% confidence limits: ±.12) and resistance training (.38; ±.06), likely large for fitness training (.51; ±.22), and most likely large for soccer training (.56; ±.03). Shared variance ranged from 14% to 35%. &lt;em&gt;&lt;strong&gt;Conclusions&lt;/strong&gt;:&lt;/em&gt; Practically meaningful differences between dRPE following physical training sessions coupled with low shared variance in all training types and matches suggest that sRPE-B and sRPE-L represent unique sensory inputs in girls’ soccer players. The data provide evidence for the face and construct validity of dRPE as a measure of internal load in this population.&lt;/p&gt;&lt;/section&gt;","container-title":"International Journal of Sports Physiology and Performance","DOI":"10.1123/ijspp.2019-0595","ISSN":"1555-0273, 1555-0265","issue":"aop","language":"en_US","note":"publisher: Human Kinetics\nsection: International Journal of Sports Physiology and Performance","page":"1-9","source":"journals-humankinetics-com.yorksj.idm.oclc.org","title":"Differential Ratings of Perceived Match and Training Exertion in Girls’ Soccer","volume":"-1","author":[{"family":"Wright","given":"Matthew"},{"family":"Songane","given":"Francisco"},{"family":"Emmonds","given":"Stacey"},{"family":"Chesterton","given":"Paul"},{"family":"Weston","given":"Matthew"},{"family":"Mclaren","given":"Shaun J."}],"issued":{"date-parts":[["2020",9,18]]}}}],"schema":"https://github.com/citation-style-language/schema/raw/master/csl-citation.json"} </w:instrText>
      </w:r>
      <w:r>
        <w:rPr>
          <w:rFonts w:ascii="Times New Roman" w:hAnsi="Times New Roman" w:cs="Times New Roman"/>
          <w:sz w:val="20"/>
          <w:szCs w:val="20"/>
        </w:rPr>
        <w:fldChar w:fldCharType="separate"/>
      </w:r>
      <w:r w:rsidR="00AA1E68">
        <w:rPr>
          <w:rFonts w:ascii="Times New Roman" w:hAnsi="Times New Roman" w:cs="Times New Roman"/>
          <w:sz w:val="20"/>
        </w:rPr>
        <w:t>(Wright et al., 2020)</w:t>
      </w:r>
      <w:r>
        <w:rPr>
          <w:rFonts w:ascii="Times New Roman" w:hAnsi="Times New Roman" w:cs="Times New Roman"/>
          <w:sz w:val="20"/>
          <w:szCs w:val="20"/>
        </w:rPr>
        <w:fldChar w:fldCharType="end"/>
      </w:r>
      <w:r>
        <w:rPr>
          <w:rFonts w:ascii="Times New Roman" w:hAnsi="Times New Roman" w:cs="Times New Roman"/>
          <w:sz w:val="20"/>
          <w:szCs w:val="20"/>
        </w:rPr>
        <w:t xml:space="preserve">. It is possible that this differentiated approach may have over-complicated the task for the adolescent population within current study. This population are considered to have the cognitive ability to understand and accurately rate sRPE, however the relationship between </w:t>
      </w:r>
      <w:r w:rsidR="00DD6C54">
        <w:rPr>
          <w:rFonts w:ascii="Times New Roman" w:hAnsi="Times New Roman" w:cs="Times New Roman"/>
          <w:sz w:val="20"/>
          <w:szCs w:val="20"/>
        </w:rPr>
        <w:t>s</w:t>
      </w:r>
      <w:r>
        <w:rPr>
          <w:rFonts w:ascii="Times New Roman" w:hAnsi="Times New Roman" w:cs="Times New Roman"/>
          <w:sz w:val="20"/>
          <w:szCs w:val="20"/>
        </w:rPr>
        <w:t xml:space="preserve">RPE and the specific internal constructs (i.e. heart rate) is less pronounced at this age and somewhat influenced by the training mode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{"citationID":"POt3TlFq","properties":{"formattedCitation":"(Groslambert &amp; Mahon, 2006)","plainCitation":"(Groslambert &amp; Mahon, 2006)","noteIndex":0},"citationItems":[{"id":1306,"uris":["http://zotero.org/users/6352108/items/AFQ4TVJW"],"itemData":{"id":1306,"type":"article-journal","container-title":"Sports Medicine","DOI":"10.2165/00007256-200636110-00001","ISSN":"0112-1642","issue":"11","journalAbbreviation":"Sports Medicine","language":"en","page":"911-928","source":"DOI.org (Crossref)","title":"Perceived Exertion: Influence of Age and Cognitive Development","title-short":"Perceived Exertion","volume":"36","author":[{"family":"Groslambert","given":"Alain"},{"family":"Mahon","given":"Anthony D"}],"issued":{"date-parts":[["2006"]]}}}],"schema":"https://github.com/citation-style-language/schema/raw/master/csl-citation.json"}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(Groslambert &amp; Mahon, 2006)</w:t>
      </w:r>
      <w:r>
        <w:rPr>
          <w:rFonts w:ascii="Times New Roman" w:hAnsi="Times New Roman" w:cs="Times New Roman"/>
          <w:sz w:val="20"/>
          <w:szCs w:val="20"/>
        </w:rPr>
        <w:fldChar w:fldCharType="end"/>
      </w:r>
      <w:r>
        <w:rPr>
          <w:rFonts w:ascii="Times New Roman" w:hAnsi="Times New Roman" w:cs="Times New Roman"/>
          <w:sz w:val="20"/>
          <w:szCs w:val="20"/>
        </w:rPr>
        <w:t xml:space="preserve"> which may confound differential-RPE sensitivity. Therefore, </w:t>
      </w:r>
      <w:r w:rsidR="00DD6C54">
        <w:rPr>
          <w:rFonts w:ascii="Times New Roman" w:hAnsi="Times New Roman" w:cs="Times New Roman"/>
          <w:sz w:val="20"/>
          <w:szCs w:val="20"/>
        </w:rPr>
        <w:t>authors</w:t>
      </w:r>
      <w:r>
        <w:rPr>
          <w:rFonts w:ascii="Times New Roman" w:hAnsi="Times New Roman" w:cs="Times New Roman"/>
          <w:sz w:val="20"/>
          <w:szCs w:val="20"/>
        </w:rPr>
        <w:t xml:space="preserve"> are satisfied that the substantial differences observed in sRPE across maturation in this academy, result in meaningful findings for the applied practitioner, who in most cases adopt sRPE rather than differential-RPE to monitor training loads in academy settings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{"citationID":"a1s35qhn88q","properties":{"formattedCitation":"(Salter, De Ste Croix, Hughes, et al., 2020; Wrigley et al., 2012)","plainCitation":"(Salter, De Ste Croix, Hughes, et al., 2020; Wrigley et al., 2012)","noteIndex":0},"citationItems":[{"id":4,"uris":["http://zotero.org/users/6352108/items/QQRSMSGI"],"itemData":{"id":4,"type":"article-journal","container-title":"International Journal of Sports Physiology and Performance","journalAbbreviation":"IJSPP","language":"en","page":"28","source":"Zotero","title":"Monitoring practices of training load and biological maturity in UK soccer academies","author":[{"family":"Salter","given":"Jamie"},{"family":"De Ste Croix","given":"Mark B.A."},{"family":"Hughes","given":"Jonathan D."},{"family":"Weston","given":"Matthew"},{"family":"Towlson","given":"Christopher"}],"issued":{"date-parts":[["2020"]]}}},{"id":508,"uris":["http://zotero.org/users/6352108/items/G7ZDSHVK"],"itemData":{"id":508,"type":"article-journal","abstract":"We examined the typical weekly training load experienced by elite junior soccer players during the in-season competitive period. Altogether, eight under-14 (U14), eight under-16 (U16) and eight under-18 (U18) players were monitored over a 2week period during the ﬁrst month of the 2010–11 competitive season. This time period included one competitive match per week. Physiological loading was monitored using heart rate (HR) and ratings of perceived exertion (RPE). Training and match loads were calculated by multiplying the global session RPE and duration (session-RPE). Total weekly training load (training and match) increased with age (U14, 2524 + 128 arbitrary units [AU]; U16, 2919 + 136 AU; U18, 3948 + 222 AU; P 5 0.05). Differences in the daily training load across the training week were also evident in the older age group relative to both U14 and U16. The amount of time engaged in low (550% HRmax) and high (490% HRmax) intensity activity during training and match-play was signiﬁcantly lower and higher respectively in the U18 compared to the U14 group (P 5 0.05). When comparing activity, the intensity (% HRmax) of ﬁeld training (U18, 69 + 2%; U16, 74 + 1%; U14, 74 + 2%) was signiﬁcantly lower compared to match-play (U18, 81 + 3%; U16, 84, + 2%; U14, 83 + 2) across all age groups (P 5 0.05). Findings demonstrate that age related differences in the volume and intensity of weekly in-season training load are evident amongst elite professional junior soccer players. These differences may reﬂect a systematic approach to the long-term physical development of elite junior players.","container-title":"Journal of Sports Sciences","DOI":"10.1080/02640414.2012.709265","ISSN":"0264-0414, 1466-447X","issue":"15","journalAbbreviation":"Journal of Sports Sciences","language":"en","page":"1573-1580","source":"DOI.org (Crossref)","title":"Quantification of the typical weekly in-season training load in elite junior soccer players","volume":"30","author":[{"family":"Wrigley","given":"Russell"},{"family":"Drust","given":"Barry"},{"family":"Stratton","given":"Gareth"},{"family":"Scott","given":"Mark"},{"family":"Gregson","given":"Warren"}],"issued":{"date-parts":[["2012",11]]}}}],"schema":"https://github.com/citation-style-language/schema/raw/master/csl-citation.json"} </w:instrText>
      </w:r>
      <w:r>
        <w:rPr>
          <w:rFonts w:ascii="Times New Roman" w:hAnsi="Times New Roman" w:cs="Times New Roman"/>
          <w:sz w:val="20"/>
          <w:szCs w:val="20"/>
        </w:rPr>
        <w:fldChar w:fldCharType="separate"/>
      </w:r>
      <w:r w:rsidR="00983E02" w:rsidRPr="00983E02">
        <w:rPr>
          <w:rFonts w:ascii="Times New Roman" w:hAnsi="Times New Roman" w:cs="Times New Roman"/>
          <w:sz w:val="20"/>
        </w:rPr>
        <w:t>(Salter, De Ste Croix, Hughes, et al., 2020; Wrigley et al., 2012)</w:t>
      </w:r>
      <w:r>
        <w:rPr>
          <w:rFonts w:ascii="Times New Roman" w:hAnsi="Times New Roman" w:cs="Times New Roman"/>
          <w:sz w:val="20"/>
          <w:szCs w:val="20"/>
        </w:rPr>
        <w:fldChar w:fldCharType="end"/>
      </w:r>
      <w:r>
        <w:rPr>
          <w:rFonts w:ascii="Times New Roman" w:hAnsi="Times New Roman" w:cs="Times New Roman"/>
          <w:sz w:val="20"/>
          <w:szCs w:val="20"/>
        </w:rPr>
        <w:t>.</w:t>
      </w:r>
    </w:p>
    <w:p w14:paraId="5508AA64" w14:textId="77777777" w:rsidR="00835C45" w:rsidRDefault="00835C45" w:rsidP="00835C45">
      <w:pPr>
        <w:spacing w:line="480" w:lineRule="auto"/>
        <w:jc w:val="both"/>
        <w:rPr>
          <w:rFonts w:ascii="Times New Roman" w:hAnsi="Times New Roman" w:cs="Times New Roman"/>
          <w:sz w:val="20"/>
          <w:szCs w:val="20"/>
        </w:rPr>
      </w:pPr>
    </w:p>
    <w:p w14:paraId="487D989E" w14:textId="54DD5859" w:rsidR="00835C45"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A 5% increase in PAH</w:t>
      </w:r>
      <w:r w:rsidR="00DD6C54">
        <w:rPr>
          <w:rFonts w:ascii="Times New Roman" w:hAnsi="Times New Roman" w:cs="Times New Roman"/>
          <w:sz w:val="20"/>
          <w:szCs w:val="20"/>
        </w:rPr>
        <w:t>%</w:t>
      </w:r>
      <w:r>
        <w:rPr>
          <w:rFonts w:ascii="Times New Roman" w:hAnsi="Times New Roman" w:cs="Times New Roman"/>
          <w:sz w:val="20"/>
          <w:szCs w:val="20"/>
        </w:rPr>
        <w:t xml:space="preserve"> would likely improve CMJ performance by approximately 4.3cm with similar relative magnitudes of performance improvement for RSI and ABS (Table 2). Inferences for REL were unclear, however this equation accounts for changes in body dimension by including mass and leg length, therefore this finding is not surprising. This progressive improvement in NM performance aligned to maturity status is not novel and has been highlighted in previous work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{"citationID":"iTTA07sy","properties":{"formattedCitation":"(Lloyd et al., 2015)","plainCitation":"(Lloyd et al., 2015)","noteIndex":0},"citationItems":[{"id":182,"uris":["http://zotero.org/users/6352108/items/R49PYSZ8"],"itemData":{"id":182,"type":"article-journal","abstract":"The purpose of this study was to examine relationships between functional movement screen scores, maturation and physical performance in young soccer players. Thirty males (11–16 years) were assessed for maturation, functional movement screen scores and a range of physical performance tests (squat jump, reactive strength index protocol and reactive agility cut). Older players signiﬁcantly outperformed younger participants in all tests (P &lt; 0.05; effect sizes = 1.25–3.40). Deep overhead squat, in-line lunge, active straight leg raise and rotary stability test were signiﬁcantly correlated to all performance tests. In-line lunge performance explained the greatest variance in reactive strength index (adjusted R2 = 47%) and reactive agility cut (adjusted R2 = 38%) performance, whilst maturation was the strongest predictor of squat jump performance (adjusted R2 = 46%). This study demonstrated that variation of physical performance in youth soccer players could be explained by a combination of both functional movement screen scores and maturation.","container-title":"Journal of Sports Sciences","DOI":"10.1080/02640414.2014.918642","ISSN":"0264-0414, 1466-447X","issue":"1","journalAbbreviation":"Journal of Sports Sciences","language":"en","page":"11-19","source":"DOI.org (Crossref)","title":"Relationships between functional movement screen scores, maturation and physical performance in young soccer players","volume":"33","author":[{"family":"Lloyd","given":"Rhodri S."},{"family":"Oliver","given":"Jon L."},{"family":"Radnor","given":"John M."},{"family":"Rhodes","given":"Benjamin C."},{"family":"Faigenbaum","given":"Avery"},{"family":"Myer","given":"Gregory"}],"issued":{"date-parts":[["2015",1,2]]}}}],"schema":"https://github.com/citation-style-language/schema/raw/master/csl-citation.json"}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(Lloyd et al., 2015)</w:t>
      </w:r>
      <w:r>
        <w:rPr>
          <w:rFonts w:ascii="Times New Roman" w:hAnsi="Times New Roman" w:cs="Times New Roman"/>
          <w:sz w:val="20"/>
          <w:szCs w:val="20"/>
        </w:rPr>
        <w:fldChar w:fldCharType="end"/>
      </w:r>
      <w:r>
        <w:rPr>
          <w:rFonts w:ascii="Times New Roman" w:hAnsi="Times New Roman" w:cs="Times New Roman"/>
          <w:sz w:val="20"/>
          <w:szCs w:val="20"/>
        </w:rPr>
        <w:t xml:space="preserve"> and is thought to result in the development of musculotendinous properties that enhance the stretch-shortening cycle and utilisation of elastic energy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{"citationID":"QiPtFQ5F","properties":{"formattedCitation":"(Radnor et al., 2020)","plainCitation":"(Radnor et al., 2020)","noteIndex":0},"citationItems":[{"id":162,"uris":["http://zotero.org/users/6352108/items/UQMY53QX"],"itemData":{"id":162,"type":"article-journal","container-title":"Pediatric Exercise Science","DOI":"10.1123/pes.2019-0201","ISSN":"0899-8493, 1543-2920","issue":"2","language":"en_US","note":"publisher: Human Kinetics","page":"89-96","source":"journals-humankinetics-com.yorksj.idm.oclc.org","title":"The Influence of Maturity Status on Muscle Architecture in School-Aged Boys","volume":"32","author":[{"family":"Radnor","given":"John M."},{"family":"Oliver","given":"Jon L."},{"family":"Waugh","given":"Charlotte M."},{"family":"Myer","given":"Gregory"},{"family":"Lloyd","given":"Rhodri S."}],"issued":{"date-parts":[["2020",2,18]]}}}],"schema":"https://github.com/citation-style-language/schema/raw/master/csl-citation.json"}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(Radnor et al., 2020)</w:t>
      </w:r>
      <w:r>
        <w:rPr>
          <w:rFonts w:ascii="Times New Roman" w:hAnsi="Times New Roman" w:cs="Times New Roman"/>
          <w:sz w:val="20"/>
          <w:szCs w:val="20"/>
        </w:rPr>
        <w:fldChar w:fldCharType="end"/>
      </w:r>
      <w:r>
        <w:rPr>
          <w:rFonts w:ascii="Times New Roman" w:hAnsi="Times New Roman" w:cs="Times New Roman"/>
          <w:sz w:val="20"/>
          <w:szCs w:val="20"/>
        </w:rPr>
        <w:t xml:space="preserve">. Previous work had suggested that changes in leg stiffness were individualised </w:t>
      </w:r>
      <w:r>
        <w:rPr>
          <w:rFonts w:ascii="Times New Roman" w:hAnsi="Times New Roman" w:cs="Times New Roman"/>
          <w:sz w:val="20"/>
          <w:szCs w:val="20"/>
        </w:rPr>
        <w:fldChar w:fldCharType="begin"/>
      </w:r>
      <w:r w:rsidR="00DF0C2E">
        <w:rPr>
          <w:rFonts w:ascii="Times New Roman" w:hAnsi="Times New Roman" w:cs="Times New Roman"/>
          <w:sz w:val="20"/>
          <w:szCs w:val="20"/>
        </w:rPr>
        <w:instrText xml:space="preserve"> ADDIN ZOTERO_ITEM CSL_CITATION {"citationID":"9XC6L6IX","properties":{"formattedCitation":"(De Ste Croix et al., 2019)","plainCitation":"(De Ste Croix et al., 2019)","noteIndex":0},"citationItems":[{"id":37,"uris":["http://zotero.org/users/6352108/items/GP26QTTM"],"itemData":{"id":37,"type":"article-journal","abstract":"Poor neuromuscular control and fatigue have been proposed as a risk factor for non-contact injuries especially around peak height velocity (PHV). This study explored the effects of competitive soccer match-play on neuromuscular performance and muscle damage in male youth soccer players. 24 youth players aged 13-16y were split into a PHV group (−0.5 to 0.5y) and post PHV group (1.0–2.5y) based on maturity off-set. Leg stiffness, reactive strength index (RSI), muscle activation, creatine kinase (CK), and muscle soreness were determined pre and post a competitive soccer match. Paired t-tests were used to explore differences pre and post competitive match play and independent sample t-tests for between groups differences for all outcome measures. There was no significant fatigue-related change in absolute and relative leg stiffness or muscle activation in both groups, except for the gastrocnemius in the post PHV group. RSI, CK and perceived muscle soreness were significantly different after soccer match-play in both groups with small to large effects observed (ES:0.41–2.82). There were no significant differences between the groups pre match-play except for absolute and relative leg stiffness (P &lt; 0.001; ES = 1.16 and 0.63 respectively). No significant differences were observed in the fatigue related responses to competitive match play between groups except for perceived muscle soreness. The influence of competitive match-play on neuromuscular function and muscle damage is similar in male youth around the time of PHV and those post-PHV indicating that other factors must contribute to the heightened injury risk around PHV.","container-title":"European Journal of Sport Science","DOI":"10.1080/17461391.2019.1575913","ISSN":"1746-1391, 1536-7290","issue":"8","journalAbbreviation":"European Journal of Sport Science","language":"en","page":"1130-1139","source":"DOI.org (Crossref)","title":"Does maturation influence neuromuscular performance and muscle damage after competitive match-play in youth male soccer players?","volume":"19","author":[{"family":"De Ste Croix","given":"Mark B.A."},{"family":"Lehnert","given":"Michal"},{"family":"Maixnerova","given":"Eliska"},{"family":"Zaatar","given":"Amr"},{"family":"Svoboda","given":"Zdenek"},{"family":"Botek","given":"Michal"},{"family":"Varekova","given":"Renata"},{"family":"Stastny","given":"Petr"}],"issued":{"date-parts":[["2019",9,14]]}}}],"schema":"https://github.com/citation-style-language/schema/raw/master/csl-citation.json"} </w:instrText>
      </w:r>
      <w:r>
        <w:rPr>
          <w:rFonts w:ascii="Times New Roman" w:hAnsi="Times New Roman" w:cs="Times New Roman"/>
          <w:sz w:val="20"/>
          <w:szCs w:val="20"/>
        </w:rPr>
        <w:fldChar w:fldCharType="separate"/>
      </w:r>
      <w:r w:rsidR="00DD6C54">
        <w:rPr>
          <w:rFonts w:ascii="Times New Roman" w:hAnsi="Times New Roman" w:cs="Times New Roman"/>
          <w:sz w:val="20"/>
        </w:rPr>
        <w:t>(De Ste Croix et al., 2019)</w:t>
      </w:r>
      <w:r>
        <w:rPr>
          <w:rFonts w:ascii="Times New Roman" w:hAnsi="Times New Roman" w:cs="Times New Roman"/>
          <w:sz w:val="20"/>
          <w:szCs w:val="20"/>
        </w:rPr>
        <w:fldChar w:fldCharType="end"/>
      </w:r>
      <w:r>
        <w:rPr>
          <w:rFonts w:ascii="Times New Roman" w:hAnsi="Times New Roman" w:cs="Times New Roman"/>
          <w:sz w:val="20"/>
          <w:szCs w:val="20"/>
        </w:rPr>
        <w:t xml:space="preserve">, though the strength of relationship observed here would indicate this is more predictable than previously inferred. A notable result from the current study indicates that maturation tempo was not substantially associated with NM performance. There is a paucity of research that observes rate of growth and its interaction with performance characteristics, but findings here would indicate that maturity status may be a more useful marker than tempo to analyse performance progression. Admittedly, these are secondary findings from the current study and longitudinal work from diverse populations would be required to confirm this assertion. </w:t>
      </w:r>
    </w:p>
    <w:p w14:paraId="1554BA85" w14:textId="77777777" w:rsidR="00835C45" w:rsidRDefault="00835C45" w:rsidP="00835C45">
      <w:pPr>
        <w:spacing w:line="480" w:lineRule="auto"/>
        <w:jc w:val="both"/>
        <w:rPr>
          <w:rFonts w:ascii="Times New Roman" w:hAnsi="Times New Roman" w:cs="Times New Roman"/>
          <w:sz w:val="20"/>
          <w:szCs w:val="20"/>
        </w:rPr>
      </w:pPr>
    </w:p>
    <w:p w14:paraId="6E8440FA" w14:textId="77777777" w:rsidR="00835C45" w:rsidRPr="00FF6E3C" w:rsidRDefault="00835C45" w:rsidP="00835C45">
      <w:pPr>
        <w:spacing w:line="480" w:lineRule="auto"/>
        <w:jc w:val="both"/>
        <w:rPr>
          <w:rFonts w:ascii="Times New Roman" w:hAnsi="Times New Roman" w:cs="Times New Roman"/>
          <w:i/>
          <w:iCs/>
          <w:sz w:val="20"/>
          <w:szCs w:val="20"/>
        </w:rPr>
      </w:pPr>
      <w:r w:rsidRPr="00FF6E3C">
        <w:rPr>
          <w:rFonts w:ascii="Times New Roman" w:hAnsi="Times New Roman" w:cs="Times New Roman"/>
          <w:i/>
          <w:iCs/>
          <w:sz w:val="20"/>
          <w:szCs w:val="20"/>
        </w:rPr>
        <w:t>Limitations</w:t>
      </w:r>
    </w:p>
    <w:p w14:paraId="62BDADA8" w14:textId="0FBECD52" w:rsidR="00835C45" w:rsidRDefault="002D3532" w:rsidP="00835C45">
      <w:pPr>
        <w:spacing w:line="480" w:lineRule="auto"/>
        <w:jc w:val="both"/>
        <w:rPr>
          <w:rFonts w:ascii="Times New Roman" w:hAnsi="Times New Roman" w:cs="Times New Roman"/>
          <w:sz w:val="20"/>
          <w:szCs w:val="20"/>
        </w:rPr>
      </w:pPr>
      <w:r w:rsidRPr="00A2361E">
        <w:rPr>
          <w:rFonts w:ascii="Times New Roman" w:hAnsi="Times New Roman" w:cs="Times New Roman"/>
          <w:color w:val="000000" w:themeColor="text1"/>
          <w:sz w:val="20"/>
          <w:szCs w:val="20"/>
        </w:rPr>
        <w:t>It is acknowledged that this study utilised an ‘estimation’ of somatic maturity, rather than ‘gold-standard’ measurements of skeletal age. If measured accurately the PAH% equation is reported to predict the adult stature to within 2.2 and 5.3 cm for the 50th and 90</w:t>
      </w:r>
      <w:r w:rsidRPr="00A2361E">
        <w:rPr>
          <w:rFonts w:ascii="Times New Roman" w:hAnsi="Times New Roman" w:cs="Times New Roman"/>
          <w:color w:val="000000" w:themeColor="text1"/>
          <w:sz w:val="20"/>
          <w:szCs w:val="20"/>
          <w:vertAlign w:val="superscript"/>
        </w:rPr>
        <w:t>th</w:t>
      </w:r>
      <w:r w:rsidRPr="00A2361E">
        <w:rPr>
          <w:rFonts w:ascii="Times New Roman" w:hAnsi="Times New Roman" w:cs="Times New Roman"/>
          <w:color w:val="000000" w:themeColor="text1"/>
          <w:sz w:val="20"/>
          <w:szCs w:val="20"/>
        </w:rPr>
        <w:t xml:space="preserve"> percentile respectively </w:t>
      </w:r>
      <w:r w:rsidRPr="00A2361E">
        <w:rPr>
          <w:rFonts w:ascii="Times New Roman" w:hAnsi="Times New Roman" w:cs="Times New Roman"/>
          <w:color w:val="000000" w:themeColor="text1"/>
          <w:sz w:val="20"/>
          <w:szCs w:val="20"/>
        </w:rPr>
        <w:fldChar w:fldCharType="begin"/>
      </w:r>
      <w:r w:rsidR="00DF0C2E" w:rsidRPr="00A2361E">
        <w:rPr>
          <w:rFonts w:ascii="Times New Roman" w:hAnsi="Times New Roman" w:cs="Times New Roman"/>
          <w:color w:val="000000" w:themeColor="text1"/>
          <w:sz w:val="20"/>
          <w:szCs w:val="20"/>
        </w:rPr>
        <w:instrText xml:space="preserve"> ADDIN ZOTERO_ITEM CSL_CITATION {"citationID":"JG7ZMaYD","properties":{"formattedCitation":"(Malina et al., 2019)","plainCitation":"(Malina et al., 2019)","noteIndex":0},"citationItems":[{"id":786,"uris":["http://zotero.org/users/6352108/items/3U28HFJP"],"itemData":{"id":786,"type":"article-journal","abstract":"Inter-individual differences in size, maturity status, function, and behavior among youth of the same chronological age (CA) have long been a concern in grouping for sport. Bio-banding is a recent attempt to accommodate maturity-associated variation among youth in sport. The historical basis of the concept of maturity-matching and its relevance to youth sport, and bio-banding as currently applied are reviewed. Maturity matching in sport has often been noted but has not been systematically applied. Bio-banding is a recent iteration of maturity matching for grouping youth athletes into ‘bands’ or groups based on characteristic(s) other than CA. The percentage of predicted young adult height at the time of observation is the estimate of maturity status of choice. Several applications of bio-banding in youth soccer have indicated positive responses from players and coaches. Bio-banding reduces, but does not eliminate, maturity-associated variation. The potential utility of bio-banding for appropriate training loads, injury prevention, and fitness assessment merits closer attention, specifically during the interval of pubertal growth. The currently used height prediction equation requires further evaluation.","container-title":"Sports Medicine","DOI":"10.1007/s40279-019-01166-x","ISSN":"0112-1642, 1179-2035","issue":"11","journalAbbreviation":"Sports Med","language":"en","page":"1671-1685","source":"DOI.org (Crossref)","title":"Bio-Banding in Youth Sports: Background, Concept, and Application","title-short":"Bio-Banding in Youth Sports","volume":"49","author":[{"family":"Malina","given":"Robert M."},{"family":"Cumming","given":"Sean P."},{"family":"Rogol","given":"Alan D."},{"family":"Coelho-e-Silva","given":"Manuel J."},{"family":"Figueiredo","given":"Antonio J."},{"family":"Konarski","given":"Jan M."},{"family":"Kozieł","given":"Sławomir M."}],"issued":{"date-parts":[["2019",11]]}}}],"schema":"https://github.com/citation-style-language/schema/raw/master/csl-citation.json"} </w:instrText>
      </w:r>
      <w:r w:rsidRPr="00A2361E">
        <w:rPr>
          <w:rFonts w:ascii="Times New Roman" w:hAnsi="Times New Roman" w:cs="Times New Roman"/>
          <w:color w:val="000000" w:themeColor="text1"/>
          <w:sz w:val="20"/>
          <w:szCs w:val="20"/>
        </w:rPr>
        <w:fldChar w:fldCharType="separate"/>
      </w:r>
      <w:r w:rsidRPr="00A2361E">
        <w:rPr>
          <w:rFonts w:ascii="Times New Roman" w:hAnsi="Times New Roman" w:cs="Times New Roman"/>
          <w:noProof/>
          <w:color w:val="000000" w:themeColor="text1"/>
          <w:sz w:val="20"/>
          <w:szCs w:val="20"/>
        </w:rPr>
        <w:t>(Malina et al., 2019)</w:t>
      </w:r>
      <w:r w:rsidRPr="00A2361E">
        <w:rPr>
          <w:rFonts w:ascii="Times New Roman" w:hAnsi="Times New Roman" w:cs="Times New Roman"/>
          <w:color w:val="000000" w:themeColor="text1"/>
          <w:sz w:val="20"/>
          <w:szCs w:val="20"/>
        </w:rPr>
        <w:fldChar w:fldCharType="end"/>
      </w:r>
      <w:r w:rsidRPr="00A2361E">
        <w:rPr>
          <w:rFonts w:ascii="Times New Roman" w:hAnsi="Times New Roman" w:cs="Times New Roman"/>
          <w:color w:val="000000" w:themeColor="text1"/>
          <w:sz w:val="20"/>
          <w:szCs w:val="20"/>
        </w:rPr>
        <w:t xml:space="preserve">. Objectively measuring parent stature was logistically difficult and therefore the equation often used self-reported parent stature and was therefore corrected for overestimation </w:t>
      </w:r>
      <w:r w:rsidRPr="00A2361E">
        <w:rPr>
          <w:rFonts w:ascii="Times New Roman" w:hAnsi="Times New Roman" w:cs="Times New Roman"/>
          <w:color w:val="000000" w:themeColor="text1"/>
          <w:sz w:val="20"/>
          <w:szCs w:val="20"/>
        </w:rPr>
        <w:fldChar w:fldCharType="begin"/>
      </w:r>
      <w:r w:rsidR="00DF0C2E" w:rsidRPr="00A2361E">
        <w:rPr>
          <w:rFonts w:ascii="Times New Roman" w:hAnsi="Times New Roman" w:cs="Times New Roman"/>
          <w:color w:val="000000" w:themeColor="text1"/>
          <w:sz w:val="20"/>
          <w:szCs w:val="20"/>
        </w:rPr>
        <w:instrText xml:space="preserve"> ADDIN ZOTERO_ITEM CSL_CITATION {"citationID":"WfLfBP1V","properties":{"formattedCitation":"(Epstein et al., 1995)","plainCitation":"(Epstein et al., 1995)","noteIndex":0},"citationItems":[{"id":777,"uris":["http://zotero.org/users/6352108/items/D6ITMRY7"],"itemData":{"id":777,"type":"article-journal","abstract":"EPSTEIN, LEONARD H, ALICE M VALOSKI, MELISSA A KALARCHIAN AND JAMES MCCURLEY. Do children lose and maintain weight easier than adults: a comparison of child and parent weight changes from six months to ten years. Obes Res. 1995;3:411-417.","container-title":"Obesity Research","DOI":"10.1002/j.1550-8528.1995.tb00170.x","ISSN":"10717323","issue":"5","language":"en","page":"411-417","source":"DOI.org (Crossref)","title":"Do Children Lose and Maintain Weight Easier Than Adults: A Comparison of Child and Parent Weight Changes From Six Months to Ten Years","title-short":"Do Children Lose and Maintain Weight Easier Than Adults","volume":"3","author":[{"family":"Epstein","given":"Leonard H."},{"family":"Valoski","given":"Alice M."},{"family":"Kalarchian","given":"Melissa A."},{"family":"McCurley","given":"James"}],"issued":{"date-parts":[["1995",9]]}}}],"schema":"https://github.com/citation-style-language/schema/raw/master/csl-citation.json"} </w:instrText>
      </w:r>
      <w:r w:rsidRPr="00A2361E">
        <w:rPr>
          <w:rFonts w:ascii="Times New Roman" w:hAnsi="Times New Roman" w:cs="Times New Roman"/>
          <w:color w:val="000000" w:themeColor="text1"/>
          <w:sz w:val="20"/>
          <w:szCs w:val="20"/>
        </w:rPr>
        <w:fldChar w:fldCharType="separate"/>
      </w:r>
      <w:r w:rsidRPr="00A2361E">
        <w:rPr>
          <w:rFonts w:ascii="Times New Roman" w:hAnsi="Times New Roman" w:cs="Times New Roman"/>
          <w:noProof/>
          <w:color w:val="000000" w:themeColor="text1"/>
          <w:sz w:val="20"/>
          <w:szCs w:val="20"/>
        </w:rPr>
        <w:t>(Epstein et al., 1995)</w:t>
      </w:r>
      <w:r w:rsidRPr="00A2361E">
        <w:rPr>
          <w:rFonts w:ascii="Times New Roman" w:hAnsi="Times New Roman" w:cs="Times New Roman"/>
          <w:color w:val="000000" w:themeColor="text1"/>
          <w:sz w:val="20"/>
          <w:szCs w:val="20"/>
        </w:rPr>
        <w:fldChar w:fldCharType="end"/>
      </w:r>
      <w:r w:rsidRPr="00A2361E">
        <w:rPr>
          <w:rFonts w:ascii="Times New Roman" w:hAnsi="Times New Roman" w:cs="Times New Roman"/>
          <w:color w:val="000000" w:themeColor="text1"/>
          <w:sz w:val="20"/>
          <w:szCs w:val="20"/>
        </w:rPr>
        <w:t xml:space="preserve">. </w:t>
      </w:r>
      <w:r w:rsidR="00835C45">
        <w:rPr>
          <w:rFonts w:ascii="Times New Roman" w:hAnsi="Times New Roman" w:cs="Times New Roman"/>
          <w:sz w:val="20"/>
          <w:szCs w:val="20"/>
        </w:rPr>
        <w:t xml:space="preserve">Although informative, it is accepted that the </w:t>
      </w:r>
      <w:r>
        <w:rPr>
          <w:rFonts w:ascii="Times New Roman" w:hAnsi="Times New Roman" w:cs="Times New Roman"/>
          <w:sz w:val="20"/>
          <w:szCs w:val="20"/>
        </w:rPr>
        <w:t xml:space="preserve">single </w:t>
      </w:r>
      <w:r w:rsidR="00835C45">
        <w:rPr>
          <w:rFonts w:ascii="Times New Roman" w:hAnsi="Times New Roman" w:cs="Times New Roman"/>
          <w:sz w:val="20"/>
          <w:szCs w:val="20"/>
        </w:rPr>
        <w:t>cohort nature of this study comprised of data from one academy limits its wider application. To some degree, the relatively large number of training sessions and data fidelity obtained by removing players with limited exposure negate this, but maturation and load monitoring strategies vary between organisations</w:t>
      </w:r>
      <w:r w:rsidR="00DD6C54">
        <w:rPr>
          <w:rFonts w:ascii="Times New Roman" w:hAnsi="Times New Roman" w:cs="Times New Roman"/>
          <w:sz w:val="20"/>
          <w:szCs w:val="20"/>
        </w:rPr>
        <w:t>.</w:t>
      </w:r>
      <w:r w:rsidR="00835C45">
        <w:rPr>
          <w:rFonts w:ascii="Times New Roman" w:hAnsi="Times New Roman" w:cs="Times New Roman"/>
          <w:sz w:val="20"/>
          <w:szCs w:val="20"/>
        </w:rPr>
        <w:t xml:space="preserve"> Additionally, including competitive match and injury data, recorded in a manner sensitive to overuse type injuries would help complete the picture outlined in this study. It is acknowledged that a large proportion of players (</w:t>
      </w:r>
      <w:r w:rsidR="00835C45" w:rsidRPr="00032F0C">
        <w:rPr>
          <w:rFonts w:ascii="Times New Roman" w:hAnsi="Times New Roman" w:cs="Times New Roman"/>
          <w:i/>
          <w:iCs/>
          <w:sz w:val="20"/>
          <w:szCs w:val="20"/>
        </w:rPr>
        <w:t>n</w:t>
      </w:r>
      <w:r w:rsidR="00835C45">
        <w:rPr>
          <w:rFonts w:ascii="Times New Roman" w:hAnsi="Times New Roman" w:cs="Times New Roman"/>
          <w:sz w:val="20"/>
          <w:szCs w:val="20"/>
        </w:rPr>
        <w:t xml:space="preserve"> = 18) were excluded from the final analysis due to participating in less than 75% of sessions. This has reduced the overall sample and power of the analyses, but the decision to complete a (&gt;75%) case analysis was made </w:t>
      </w:r>
      <w:r w:rsidR="00835C45" w:rsidRPr="00032F0C">
        <w:rPr>
          <w:rFonts w:ascii="Times New Roman" w:hAnsi="Times New Roman" w:cs="Times New Roman"/>
          <w:i/>
          <w:iCs/>
          <w:sz w:val="20"/>
          <w:szCs w:val="20"/>
        </w:rPr>
        <w:t>a priori</w:t>
      </w:r>
      <w:r w:rsidR="00835C45">
        <w:rPr>
          <w:rFonts w:ascii="Times New Roman" w:hAnsi="Times New Roman" w:cs="Times New Roman"/>
          <w:sz w:val="20"/>
          <w:szCs w:val="20"/>
        </w:rPr>
        <w:t xml:space="preserve"> to protect against bias. </w:t>
      </w:r>
    </w:p>
    <w:p w14:paraId="21BBE32B" w14:textId="77777777" w:rsidR="00835C45" w:rsidRDefault="00835C45" w:rsidP="00835C45">
      <w:pPr>
        <w:spacing w:line="480" w:lineRule="auto"/>
        <w:jc w:val="both"/>
        <w:rPr>
          <w:rFonts w:ascii="Times New Roman" w:hAnsi="Times New Roman" w:cs="Times New Roman"/>
          <w:sz w:val="20"/>
          <w:szCs w:val="20"/>
        </w:rPr>
      </w:pPr>
    </w:p>
    <w:p w14:paraId="4006B9FE" w14:textId="77777777" w:rsidR="00835C45" w:rsidRPr="00D554CE" w:rsidRDefault="00835C45" w:rsidP="00835C45">
      <w:pPr>
        <w:spacing w:line="480" w:lineRule="auto"/>
        <w:jc w:val="both"/>
        <w:rPr>
          <w:rFonts w:ascii="Times New Roman" w:hAnsi="Times New Roman" w:cs="Times New Roman"/>
          <w:b/>
          <w:bCs/>
          <w:sz w:val="20"/>
          <w:szCs w:val="20"/>
        </w:rPr>
      </w:pPr>
      <w:r w:rsidRPr="00D554CE">
        <w:rPr>
          <w:rFonts w:ascii="Times New Roman" w:hAnsi="Times New Roman" w:cs="Times New Roman"/>
          <w:b/>
          <w:bCs/>
          <w:sz w:val="20"/>
          <w:szCs w:val="20"/>
        </w:rPr>
        <w:t>Conclusion</w:t>
      </w:r>
    </w:p>
    <w:p w14:paraId="5D1A2927" w14:textId="3F36FC8A" w:rsidR="00835C45" w:rsidRDefault="00DD6C54"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F</w:t>
      </w:r>
      <w:r w:rsidR="00835C45">
        <w:rPr>
          <w:rFonts w:ascii="Times New Roman" w:hAnsi="Times New Roman" w:cs="Times New Roman"/>
          <w:sz w:val="20"/>
          <w:szCs w:val="20"/>
        </w:rPr>
        <w:t xml:space="preserve">indings illustrate that less mature individuals consistently perceive training to be substantially more intense than more </w:t>
      </w:r>
      <w:r>
        <w:rPr>
          <w:rFonts w:ascii="Times New Roman" w:hAnsi="Times New Roman" w:cs="Times New Roman"/>
          <w:sz w:val="20"/>
          <w:szCs w:val="20"/>
        </w:rPr>
        <w:t>mature</w:t>
      </w:r>
      <w:r w:rsidR="00835C45">
        <w:rPr>
          <w:rFonts w:ascii="Times New Roman" w:hAnsi="Times New Roman" w:cs="Times New Roman"/>
          <w:sz w:val="20"/>
          <w:szCs w:val="20"/>
        </w:rPr>
        <w:t xml:space="preserve"> peers. Short-term this should at least be a concern for practitioners involved with training prescription. However, over extended periods this has the potential to undermine the developmental pathway, as the assumption that players of a similar chronological age are experiencing similar load-responses is precarious. Failure to act, by adopting more maturity sensitive ways of working for example, will result in a ‘survival of the fittest’ environment, rather than the systematic, considered, and individualised approach to optimal loading proposed in policy documents and literature. It is this exact scenario that injury incidence, non-functional overreaching and burnout research has been critical of for several years and without adapting our practice will continue to impact practice for years to come. To do this, practitioners should monitor and utilise maturity status opposed to maturation tempo to inform training prescription</w:t>
      </w:r>
      <w:r>
        <w:rPr>
          <w:rFonts w:ascii="Times New Roman" w:hAnsi="Times New Roman" w:cs="Times New Roman"/>
          <w:sz w:val="20"/>
          <w:szCs w:val="20"/>
        </w:rPr>
        <w:t>.</w:t>
      </w:r>
    </w:p>
    <w:p w14:paraId="4FA99BE0" w14:textId="77777777" w:rsidR="00835C45" w:rsidRDefault="00835C45" w:rsidP="00835C45">
      <w:pPr>
        <w:spacing w:line="480" w:lineRule="auto"/>
        <w:jc w:val="both"/>
        <w:rPr>
          <w:rFonts w:ascii="Times New Roman" w:hAnsi="Times New Roman" w:cs="Times New Roman"/>
          <w:b/>
          <w:bCs/>
          <w:sz w:val="20"/>
          <w:szCs w:val="20"/>
        </w:rPr>
      </w:pPr>
    </w:p>
    <w:p w14:paraId="38CDD0FE" w14:textId="77777777" w:rsidR="00835C45" w:rsidRPr="00503ACD" w:rsidRDefault="00835C45" w:rsidP="00835C45">
      <w:pPr>
        <w:spacing w:line="480" w:lineRule="auto"/>
        <w:jc w:val="both"/>
        <w:rPr>
          <w:rFonts w:ascii="Times New Roman" w:hAnsi="Times New Roman" w:cs="Times New Roman"/>
          <w:b/>
          <w:bCs/>
          <w:sz w:val="20"/>
          <w:szCs w:val="20"/>
        </w:rPr>
      </w:pPr>
      <w:r w:rsidRPr="00503ACD">
        <w:rPr>
          <w:rFonts w:ascii="Times New Roman" w:hAnsi="Times New Roman" w:cs="Times New Roman"/>
          <w:b/>
          <w:bCs/>
          <w:sz w:val="20"/>
          <w:szCs w:val="20"/>
        </w:rPr>
        <w:t>Acknowledgements</w:t>
      </w:r>
    </w:p>
    <w:p w14:paraId="4AD77A56" w14:textId="77777777" w:rsidR="00835C45"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The authors would like to thank the staff and players at Hull City FC Academy for their support and assistance during the data collection of this research study, and Dr Shaun McLaren for his statistical insight.</w:t>
      </w:r>
    </w:p>
    <w:p w14:paraId="477D1BD2" w14:textId="77777777" w:rsidR="00835C45" w:rsidRDefault="00835C45" w:rsidP="00835C45">
      <w:pPr>
        <w:spacing w:line="480" w:lineRule="auto"/>
        <w:jc w:val="both"/>
        <w:rPr>
          <w:rFonts w:ascii="Times New Roman" w:hAnsi="Times New Roman" w:cs="Times New Roman"/>
          <w:sz w:val="20"/>
          <w:szCs w:val="20"/>
        </w:rPr>
      </w:pPr>
    </w:p>
    <w:p w14:paraId="25A11451" w14:textId="77777777" w:rsidR="00835C45" w:rsidRPr="00503ACD" w:rsidRDefault="00835C45" w:rsidP="00835C45">
      <w:pPr>
        <w:spacing w:line="480" w:lineRule="auto"/>
        <w:jc w:val="both"/>
        <w:rPr>
          <w:rFonts w:ascii="Times New Roman" w:hAnsi="Times New Roman" w:cs="Times New Roman"/>
          <w:b/>
          <w:bCs/>
          <w:sz w:val="20"/>
          <w:szCs w:val="20"/>
        </w:rPr>
      </w:pPr>
      <w:r w:rsidRPr="00503ACD">
        <w:rPr>
          <w:rFonts w:ascii="Times New Roman" w:hAnsi="Times New Roman" w:cs="Times New Roman"/>
          <w:b/>
          <w:bCs/>
          <w:sz w:val="20"/>
          <w:szCs w:val="20"/>
        </w:rPr>
        <w:t>Declaration of Interest</w:t>
      </w:r>
    </w:p>
    <w:p w14:paraId="2F9536C7" w14:textId="77777777" w:rsidR="00835C45" w:rsidRDefault="00835C45" w:rsidP="00835C45">
      <w:pPr>
        <w:spacing w:line="480" w:lineRule="auto"/>
        <w:jc w:val="both"/>
        <w:rPr>
          <w:rFonts w:ascii="Times New Roman" w:hAnsi="Times New Roman" w:cs="Times New Roman"/>
          <w:sz w:val="20"/>
          <w:szCs w:val="20"/>
        </w:rPr>
      </w:pPr>
      <w:r w:rsidRPr="00503ACD">
        <w:rPr>
          <w:rFonts w:ascii="Times New Roman" w:hAnsi="Times New Roman" w:cs="Times New Roman"/>
          <w:sz w:val="20"/>
          <w:szCs w:val="20"/>
        </w:rPr>
        <w:t>The authors note no conflict of interest involved with this study.</w:t>
      </w:r>
    </w:p>
    <w:p w14:paraId="0A63317C" w14:textId="77777777" w:rsidR="00835C45" w:rsidRDefault="00835C45" w:rsidP="00835C45">
      <w:pPr>
        <w:spacing w:line="480" w:lineRule="auto"/>
        <w:jc w:val="both"/>
        <w:rPr>
          <w:rFonts w:ascii="Times New Roman" w:hAnsi="Times New Roman" w:cs="Times New Roman"/>
          <w:sz w:val="20"/>
          <w:szCs w:val="20"/>
        </w:rPr>
      </w:pPr>
    </w:p>
    <w:p w14:paraId="1A6E1693" w14:textId="77777777" w:rsidR="00835C45" w:rsidRPr="00D554CE" w:rsidRDefault="00835C45" w:rsidP="00835C45">
      <w:pPr>
        <w:spacing w:line="480" w:lineRule="auto"/>
        <w:jc w:val="both"/>
        <w:rPr>
          <w:rFonts w:ascii="Times New Roman" w:hAnsi="Times New Roman" w:cs="Times New Roman"/>
          <w:b/>
          <w:bCs/>
          <w:sz w:val="20"/>
          <w:szCs w:val="20"/>
        </w:rPr>
      </w:pPr>
      <w:r w:rsidRPr="00D554CE">
        <w:rPr>
          <w:rFonts w:ascii="Times New Roman" w:hAnsi="Times New Roman" w:cs="Times New Roman"/>
          <w:b/>
          <w:bCs/>
          <w:sz w:val="20"/>
          <w:szCs w:val="20"/>
        </w:rPr>
        <w:t>Author Contributions</w:t>
      </w:r>
    </w:p>
    <w:p w14:paraId="0C64C58B" w14:textId="77777777" w:rsidR="00835C45" w:rsidRPr="00503ACD" w:rsidRDefault="00835C45" w:rsidP="00835C4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JS was lead researcher and conducted the data collection and manuscript draft; RJ and SM assisted with the development of the statistical approach and edited interpretations/manuscript in line with this; AH was responsible for facilitating data collection and collating data; JH and MDSC were involved with research design, manuscript editing and practical applications. All authors have seen the complete manuscript and approved this for submission. </w:t>
      </w:r>
    </w:p>
    <w:p w14:paraId="10FB2B8F" w14:textId="77777777" w:rsidR="00835C45" w:rsidRDefault="00835C45" w:rsidP="00835C45">
      <w:pPr>
        <w:rPr>
          <w:rFonts w:ascii="Times New Roman" w:hAnsi="Times New Roman" w:cs="Times New Roman"/>
          <w:b/>
          <w:bCs/>
          <w:sz w:val="20"/>
          <w:szCs w:val="20"/>
        </w:rPr>
      </w:pPr>
      <w:r>
        <w:rPr>
          <w:rFonts w:ascii="Times New Roman" w:hAnsi="Times New Roman" w:cs="Times New Roman"/>
          <w:b/>
          <w:bCs/>
          <w:sz w:val="20"/>
          <w:szCs w:val="20"/>
        </w:rPr>
        <w:br w:type="page"/>
      </w:r>
      <w:r w:rsidRPr="00F22FDF">
        <w:rPr>
          <w:rFonts w:ascii="Times New Roman" w:hAnsi="Times New Roman" w:cs="Times New Roman"/>
          <w:b/>
          <w:bCs/>
          <w:sz w:val="20"/>
          <w:szCs w:val="20"/>
        </w:rPr>
        <w:lastRenderedPageBreak/>
        <w:t>References</w:t>
      </w:r>
    </w:p>
    <w:p w14:paraId="62E51EC9" w14:textId="77777777" w:rsidR="00DF0C2E" w:rsidRPr="00DF0C2E" w:rsidRDefault="00835C45" w:rsidP="00DF0C2E">
      <w:pPr>
        <w:pStyle w:val="Bibliography"/>
        <w:rPr>
          <w:rFonts w:ascii="Times New Roman" w:hAnsi="Times New Roman" w:cs="Times New Roman"/>
          <w:sz w:val="20"/>
        </w:rPr>
      </w:pPr>
      <w:r>
        <w:fldChar w:fldCharType="begin"/>
      </w:r>
      <w:r w:rsidR="00DF0C2E">
        <w:instrText xml:space="preserve"> ADDIN ZOTERO_BIBL {"uncited":[],"omitted":[],"custom":[]} CSL_BIBLIOGRAPHY </w:instrText>
      </w:r>
      <w:r>
        <w:fldChar w:fldCharType="separate"/>
      </w:r>
      <w:r w:rsidR="00DF0C2E" w:rsidRPr="00DF0C2E">
        <w:rPr>
          <w:rFonts w:ascii="Times New Roman" w:hAnsi="Times New Roman" w:cs="Times New Roman"/>
          <w:sz w:val="20"/>
        </w:rPr>
        <w:t xml:space="preserve">Arazi, H., Asadi, A., Khalkhali, F., Boullosa, D., Hackney, A. C., Granacher, U., &amp; Zouhal, H. (2020). Association Between the Acute to Chronic Workload Ratio and Injury Occurrence in Young Male Team Soccer Players: A Preliminary Study. </w:t>
      </w:r>
      <w:r w:rsidR="00DF0C2E" w:rsidRPr="00DF0C2E">
        <w:rPr>
          <w:rFonts w:ascii="Times New Roman" w:hAnsi="Times New Roman" w:cs="Times New Roman"/>
          <w:i/>
          <w:iCs/>
          <w:sz w:val="20"/>
        </w:rPr>
        <w:t>Frontiers in Physiology</w:t>
      </w:r>
      <w:r w:rsidR="00DF0C2E" w:rsidRPr="00DF0C2E">
        <w:rPr>
          <w:rFonts w:ascii="Times New Roman" w:hAnsi="Times New Roman" w:cs="Times New Roman"/>
          <w:sz w:val="20"/>
        </w:rPr>
        <w:t xml:space="preserve">, </w:t>
      </w:r>
      <w:r w:rsidR="00DF0C2E" w:rsidRPr="00DF0C2E">
        <w:rPr>
          <w:rFonts w:ascii="Times New Roman" w:hAnsi="Times New Roman" w:cs="Times New Roman"/>
          <w:i/>
          <w:iCs/>
          <w:sz w:val="20"/>
        </w:rPr>
        <w:t>11</w:t>
      </w:r>
      <w:r w:rsidR="00DF0C2E" w:rsidRPr="00DF0C2E">
        <w:rPr>
          <w:rFonts w:ascii="Times New Roman" w:hAnsi="Times New Roman" w:cs="Times New Roman"/>
          <w:sz w:val="20"/>
        </w:rPr>
        <w:t>. https://doi.org/10.3389/fphys.2020.00608</w:t>
      </w:r>
    </w:p>
    <w:p w14:paraId="0ADAFD82"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Buchheit, M., &amp; Mendez-Villanueva, A. (2014). Effects of age, maturity and body dimensions on match running performance in highly trained under-15 soccer players. </w:t>
      </w:r>
      <w:r w:rsidRPr="00DF0C2E">
        <w:rPr>
          <w:rFonts w:ascii="Times New Roman" w:hAnsi="Times New Roman" w:cs="Times New Roman"/>
          <w:i/>
          <w:iCs/>
          <w:sz w:val="20"/>
        </w:rPr>
        <w:t>Journal of Sports Sciences</w:t>
      </w:r>
      <w:r w:rsidRPr="00DF0C2E">
        <w:rPr>
          <w:rFonts w:ascii="Times New Roman" w:hAnsi="Times New Roman" w:cs="Times New Roman"/>
          <w:sz w:val="20"/>
        </w:rPr>
        <w:t xml:space="preserve">, </w:t>
      </w:r>
      <w:r w:rsidRPr="00DF0C2E">
        <w:rPr>
          <w:rFonts w:ascii="Times New Roman" w:hAnsi="Times New Roman" w:cs="Times New Roman"/>
          <w:i/>
          <w:iCs/>
          <w:sz w:val="20"/>
        </w:rPr>
        <w:t>32</w:t>
      </w:r>
      <w:r w:rsidRPr="00DF0C2E">
        <w:rPr>
          <w:rFonts w:ascii="Times New Roman" w:hAnsi="Times New Roman" w:cs="Times New Roman"/>
          <w:sz w:val="20"/>
        </w:rPr>
        <w:t>(13), 1271–1278. https://doi.org/10.1080/02640414.2014.884721</w:t>
      </w:r>
    </w:p>
    <w:p w14:paraId="0E3C1AB4"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Clemente, F. M., Rabbani, A., &amp; Araújo, J. P. (2019). Ratings of perceived recovery and exertion in elite youth soccer players: Interchangeability of 10-point and 100-point scales. </w:t>
      </w:r>
      <w:r w:rsidRPr="00DF0C2E">
        <w:rPr>
          <w:rFonts w:ascii="Times New Roman" w:hAnsi="Times New Roman" w:cs="Times New Roman"/>
          <w:i/>
          <w:iCs/>
          <w:sz w:val="20"/>
        </w:rPr>
        <w:t>Physiology &amp; Behavior</w:t>
      </w:r>
      <w:r w:rsidRPr="00DF0C2E">
        <w:rPr>
          <w:rFonts w:ascii="Times New Roman" w:hAnsi="Times New Roman" w:cs="Times New Roman"/>
          <w:sz w:val="20"/>
        </w:rPr>
        <w:t xml:space="preserve">, </w:t>
      </w:r>
      <w:r w:rsidRPr="00DF0C2E">
        <w:rPr>
          <w:rFonts w:ascii="Times New Roman" w:hAnsi="Times New Roman" w:cs="Times New Roman"/>
          <w:i/>
          <w:iCs/>
          <w:sz w:val="20"/>
        </w:rPr>
        <w:t>210</w:t>
      </w:r>
      <w:r w:rsidRPr="00DF0C2E">
        <w:rPr>
          <w:rFonts w:ascii="Times New Roman" w:hAnsi="Times New Roman" w:cs="Times New Roman"/>
          <w:sz w:val="20"/>
        </w:rPr>
        <w:t>, 112641. https://doi.org/10.1016/j.physbeh.2019.112641</w:t>
      </w:r>
    </w:p>
    <w:p w14:paraId="32D920E4"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De Ste Croix, M. B. A., Lehnert, M., Maixnerova, E., Zaatar, A., Svoboda, Z., Botek, M., Varekova, R., &amp; Stastny, P. (2019). Does maturation influence neuromuscular performance and muscle damage after competitive match-play in youth male soccer players? </w:t>
      </w:r>
      <w:r w:rsidRPr="00DF0C2E">
        <w:rPr>
          <w:rFonts w:ascii="Times New Roman" w:hAnsi="Times New Roman" w:cs="Times New Roman"/>
          <w:i/>
          <w:iCs/>
          <w:sz w:val="20"/>
        </w:rPr>
        <w:t>European Journal of Sport Science</w:t>
      </w:r>
      <w:r w:rsidRPr="00DF0C2E">
        <w:rPr>
          <w:rFonts w:ascii="Times New Roman" w:hAnsi="Times New Roman" w:cs="Times New Roman"/>
          <w:sz w:val="20"/>
        </w:rPr>
        <w:t xml:space="preserve">, </w:t>
      </w:r>
      <w:r w:rsidRPr="00DF0C2E">
        <w:rPr>
          <w:rFonts w:ascii="Times New Roman" w:hAnsi="Times New Roman" w:cs="Times New Roman"/>
          <w:i/>
          <w:iCs/>
          <w:sz w:val="20"/>
        </w:rPr>
        <w:t>19</w:t>
      </w:r>
      <w:r w:rsidRPr="00DF0C2E">
        <w:rPr>
          <w:rFonts w:ascii="Times New Roman" w:hAnsi="Times New Roman" w:cs="Times New Roman"/>
          <w:sz w:val="20"/>
        </w:rPr>
        <w:t>(8), 1130–1139. https://doi.org/10.1080/17461391.2019.1575913</w:t>
      </w:r>
    </w:p>
    <w:p w14:paraId="4ECF98D4"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De Ste Croix, M. B. A., Priestley, A. M., Lloyd, R. S., &amp; Oliver, J. L. (2015). ACL injury risk in elite female youth soccer: Changes in neuromuscular control of the knee following soccer-specific fatigue: Female youth soccer and fatigue. </w:t>
      </w:r>
      <w:r w:rsidRPr="00DF0C2E">
        <w:rPr>
          <w:rFonts w:ascii="Times New Roman" w:hAnsi="Times New Roman" w:cs="Times New Roman"/>
          <w:i/>
          <w:iCs/>
          <w:sz w:val="20"/>
        </w:rPr>
        <w:t>Scandinavian Journal of Medicine &amp; Science in Sports</w:t>
      </w:r>
      <w:r w:rsidRPr="00DF0C2E">
        <w:rPr>
          <w:rFonts w:ascii="Times New Roman" w:hAnsi="Times New Roman" w:cs="Times New Roman"/>
          <w:sz w:val="20"/>
        </w:rPr>
        <w:t xml:space="preserve">, </w:t>
      </w:r>
      <w:r w:rsidRPr="00DF0C2E">
        <w:rPr>
          <w:rFonts w:ascii="Times New Roman" w:hAnsi="Times New Roman" w:cs="Times New Roman"/>
          <w:i/>
          <w:iCs/>
          <w:sz w:val="20"/>
        </w:rPr>
        <w:t>25</w:t>
      </w:r>
      <w:r w:rsidRPr="00DF0C2E">
        <w:rPr>
          <w:rFonts w:ascii="Times New Roman" w:hAnsi="Times New Roman" w:cs="Times New Roman"/>
          <w:sz w:val="20"/>
        </w:rPr>
        <w:t>(5), e531–e538. https://doi.org/10.1111/sms.12355</w:t>
      </w:r>
    </w:p>
    <w:p w14:paraId="0D26DA3B"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Dudink, A. (1994). Birth date and sporting success. </w:t>
      </w:r>
      <w:r w:rsidRPr="00DF0C2E">
        <w:rPr>
          <w:rFonts w:ascii="Times New Roman" w:hAnsi="Times New Roman" w:cs="Times New Roman"/>
          <w:i/>
          <w:iCs/>
          <w:sz w:val="20"/>
        </w:rPr>
        <w:t>Nature</w:t>
      </w:r>
      <w:r w:rsidRPr="00DF0C2E">
        <w:rPr>
          <w:rFonts w:ascii="Times New Roman" w:hAnsi="Times New Roman" w:cs="Times New Roman"/>
          <w:sz w:val="20"/>
        </w:rPr>
        <w:t xml:space="preserve">, </w:t>
      </w:r>
      <w:r w:rsidRPr="00DF0C2E">
        <w:rPr>
          <w:rFonts w:ascii="Times New Roman" w:hAnsi="Times New Roman" w:cs="Times New Roman"/>
          <w:i/>
          <w:iCs/>
          <w:sz w:val="20"/>
        </w:rPr>
        <w:t>368</w:t>
      </w:r>
      <w:r w:rsidRPr="00DF0C2E">
        <w:rPr>
          <w:rFonts w:ascii="Times New Roman" w:hAnsi="Times New Roman" w:cs="Times New Roman"/>
          <w:sz w:val="20"/>
        </w:rPr>
        <w:t>(6472), 592–592. https://doi.org/10.1038/368592a0</w:t>
      </w:r>
    </w:p>
    <w:p w14:paraId="268EBB6A"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Epstein, L. H., Valoski, A. M., Kalarchian, M. A., &amp; McCurley, J. (1995). Do Children Lose and Maintain Weight Easier Than Adults: A Comparison of Child and Parent Weight Changes From Six Months to Ten Years. </w:t>
      </w:r>
      <w:r w:rsidRPr="00DF0C2E">
        <w:rPr>
          <w:rFonts w:ascii="Times New Roman" w:hAnsi="Times New Roman" w:cs="Times New Roman"/>
          <w:i/>
          <w:iCs/>
          <w:sz w:val="20"/>
        </w:rPr>
        <w:t>Obesity Research</w:t>
      </w:r>
      <w:r w:rsidRPr="00DF0C2E">
        <w:rPr>
          <w:rFonts w:ascii="Times New Roman" w:hAnsi="Times New Roman" w:cs="Times New Roman"/>
          <w:sz w:val="20"/>
        </w:rPr>
        <w:t xml:space="preserve">, </w:t>
      </w:r>
      <w:r w:rsidRPr="00DF0C2E">
        <w:rPr>
          <w:rFonts w:ascii="Times New Roman" w:hAnsi="Times New Roman" w:cs="Times New Roman"/>
          <w:i/>
          <w:iCs/>
          <w:sz w:val="20"/>
        </w:rPr>
        <w:t>3</w:t>
      </w:r>
      <w:r w:rsidRPr="00DF0C2E">
        <w:rPr>
          <w:rFonts w:ascii="Times New Roman" w:hAnsi="Times New Roman" w:cs="Times New Roman"/>
          <w:sz w:val="20"/>
        </w:rPr>
        <w:t>(5), 411–417. https://doi.org/10.1002/j.1550-8528.1995.tb00170.x</w:t>
      </w:r>
    </w:p>
    <w:p w14:paraId="4CB88AE7"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Fanchini, M., Ferraresi, I., Modena, R., Schena, F., Coutts, A. J., &amp; Impellizzeri, F. M. (2016). Use of the CR100 Scale for Session Rating of Perceived Exertion in Soccer and Its Interchangeability With the CR10. </w:t>
      </w:r>
      <w:r w:rsidRPr="00DF0C2E">
        <w:rPr>
          <w:rFonts w:ascii="Times New Roman" w:hAnsi="Times New Roman" w:cs="Times New Roman"/>
          <w:i/>
          <w:iCs/>
          <w:sz w:val="20"/>
        </w:rPr>
        <w:t>International Journal of Sports Physiology and Performance</w:t>
      </w:r>
      <w:r w:rsidRPr="00DF0C2E">
        <w:rPr>
          <w:rFonts w:ascii="Times New Roman" w:hAnsi="Times New Roman" w:cs="Times New Roman"/>
          <w:sz w:val="20"/>
        </w:rPr>
        <w:t xml:space="preserve">, </w:t>
      </w:r>
      <w:r w:rsidRPr="00DF0C2E">
        <w:rPr>
          <w:rFonts w:ascii="Times New Roman" w:hAnsi="Times New Roman" w:cs="Times New Roman"/>
          <w:i/>
          <w:iCs/>
          <w:sz w:val="20"/>
        </w:rPr>
        <w:t>11</w:t>
      </w:r>
      <w:r w:rsidRPr="00DF0C2E">
        <w:rPr>
          <w:rFonts w:ascii="Times New Roman" w:hAnsi="Times New Roman" w:cs="Times New Roman"/>
          <w:sz w:val="20"/>
        </w:rPr>
        <w:t>(3), 388–392. https://doi.org/10.1123/ijspp.2015-0273</w:t>
      </w:r>
    </w:p>
    <w:p w14:paraId="5EB59F00"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Figueiredo, A. J., Silva, M. J. C. e, Cumming, S. P., &amp; Malina, R. M. (2010). Size and Maturity Mismatch in Youth Soccer Players 11- to 14-Years-Old. </w:t>
      </w:r>
      <w:r w:rsidRPr="00DF0C2E">
        <w:rPr>
          <w:rFonts w:ascii="Times New Roman" w:hAnsi="Times New Roman" w:cs="Times New Roman"/>
          <w:i/>
          <w:iCs/>
          <w:sz w:val="20"/>
        </w:rPr>
        <w:t>Pediatric Exercise Science</w:t>
      </w:r>
      <w:r w:rsidRPr="00DF0C2E">
        <w:rPr>
          <w:rFonts w:ascii="Times New Roman" w:hAnsi="Times New Roman" w:cs="Times New Roman"/>
          <w:sz w:val="20"/>
        </w:rPr>
        <w:t xml:space="preserve">, </w:t>
      </w:r>
      <w:r w:rsidRPr="00DF0C2E">
        <w:rPr>
          <w:rFonts w:ascii="Times New Roman" w:hAnsi="Times New Roman" w:cs="Times New Roman"/>
          <w:i/>
          <w:iCs/>
          <w:sz w:val="20"/>
        </w:rPr>
        <w:t>22</w:t>
      </w:r>
      <w:r w:rsidRPr="00DF0C2E">
        <w:rPr>
          <w:rFonts w:ascii="Times New Roman" w:hAnsi="Times New Roman" w:cs="Times New Roman"/>
          <w:sz w:val="20"/>
        </w:rPr>
        <w:t>(4), 596–612. https://doi.org/10.1123/pes.22.4.596</w:t>
      </w:r>
    </w:p>
    <w:p w14:paraId="78A1B018"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Ford, K., Myer, G., &amp; Hewett, T. E. (2010). Longitudinal Effects of Maturation on Lower Extremity Joint Stiffness in Adolescent Athletes. </w:t>
      </w:r>
      <w:r w:rsidRPr="00DF0C2E">
        <w:rPr>
          <w:rFonts w:ascii="Times New Roman" w:hAnsi="Times New Roman" w:cs="Times New Roman"/>
          <w:i/>
          <w:iCs/>
          <w:sz w:val="20"/>
        </w:rPr>
        <w:t>The American Journal of Sports Medicine</w:t>
      </w:r>
      <w:r w:rsidRPr="00DF0C2E">
        <w:rPr>
          <w:rFonts w:ascii="Times New Roman" w:hAnsi="Times New Roman" w:cs="Times New Roman"/>
          <w:sz w:val="20"/>
        </w:rPr>
        <w:t xml:space="preserve">, </w:t>
      </w:r>
      <w:r w:rsidRPr="00DF0C2E">
        <w:rPr>
          <w:rFonts w:ascii="Times New Roman" w:hAnsi="Times New Roman" w:cs="Times New Roman"/>
          <w:i/>
          <w:iCs/>
          <w:sz w:val="20"/>
        </w:rPr>
        <w:t>38</w:t>
      </w:r>
      <w:r w:rsidRPr="00DF0C2E">
        <w:rPr>
          <w:rFonts w:ascii="Times New Roman" w:hAnsi="Times New Roman" w:cs="Times New Roman"/>
          <w:sz w:val="20"/>
        </w:rPr>
        <w:t>(9), 1829–1837. https://doi.org/10.1177/0363546510367425</w:t>
      </w:r>
    </w:p>
    <w:p w14:paraId="6DED748A"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lastRenderedPageBreak/>
        <w:t xml:space="preserve">Groslambert, A., &amp; Mahon, A. D. (2006). Perceived Exertion: Influence of Age and Cognitive Development. </w:t>
      </w:r>
      <w:r w:rsidRPr="00DF0C2E">
        <w:rPr>
          <w:rFonts w:ascii="Times New Roman" w:hAnsi="Times New Roman" w:cs="Times New Roman"/>
          <w:i/>
          <w:iCs/>
          <w:sz w:val="20"/>
        </w:rPr>
        <w:t>Sports Medicine</w:t>
      </w:r>
      <w:r w:rsidRPr="00DF0C2E">
        <w:rPr>
          <w:rFonts w:ascii="Times New Roman" w:hAnsi="Times New Roman" w:cs="Times New Roman"/>
          <w:sz w:val="20"/>
        </w:rPr>
        <w:t xml:space="preserve">, </w:t>
      </w:r>
      <w:r w:rsidRPr="00DF0C2E">
        <w:rPr>
          <w:rFonts w:ascii="Times New Roman" w:hAnsi="Times New Roman" w:cs="Times New Roman"/>
          <w:i/>
          <w:iCs/>
          <w:sz w:val="20"/>
        </w:rPr>
        <w:t>36</w:t>
      </w:r>
      <w:r w:rsidRPr="00DF0C2E">
        <w:rPr>
          <w:rFonts w:ascii="Times New Roman" w:hAnsi="Times New Roman" w:cs="Times New Roman"/>
          <w:sz w:val="20"/>
        </w:rPr>
        <w:t>(11), 911–928. https://doi.org/10.2165/00007256-200636110-00001</w:t>
      </w:r>
    </w:p>
    <w:p w14:paraId="499CBAA8"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Hill, A. (2013). Perfectionism and Burnout in Junior Soccer Players: A Test of the 2 × 2 Model of Dispositional Perfectionism. </w:t>
      </w:r>
      <w:r w:rsidRPr="00DF0C2E">
        <w:rPr>
          <w:rFonts w:ascii="Times New Roman" w:hAnsi="Times New Roman" w:cs="Times New Roman"/>
          <w:i/>
          <w:iCs/>
          <w:sz w:val="20"/>
        </w:rPr>
        <w:t>Journal of Sport and Exercise Psychology</w:t>
      </w:r>
      <w:r w:rsidRPr="00DF0C2E">
        <w:rPr>
          <w:rFonts w:ascii="Times New Roman" w:hAnsi="Times New Roman" w:cs="Times New Roman"/>
          <w:sz w:val="20"/>
        </w:rPr>
        <w:t xml:space="preserve">, </w:t>
      </w:r>
      <w:r w:rsidRPr="00DF0C2E">
        <w:rPr>
          <w:rFonts w:ascii="Times New Roman" w:hAnsi="Times New Roman" w:cs="Times New Roman"/>
          <w:i/>
          <w:iCs/>
          <w:sz w:val="20"/>
        </w:rPr>
        <w:t>35</w:t>
      </w:r>
      <w:r w:rsidRPr="00DF0C2E">
        <w:rPr>
          <w:rFonts w:ascii="Times New Roman" w:hAnsi="Times New Roman" w:cs="Times New Roman"/>
          <w:sz w:val="20"/>
        </w:rPr>
        <w:t>(1), 18–29. https://doi.org/10.1123/jsep.35.1.18</w:t>
      </w:r>
    </w:p>
    <w:p w14:paraId="1CB1A7DC"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Hopkins, W. (2019). </w:t>
      </w:r>
      <w:r w:rsidRPr="00DF0C2E">
        <w:rPr>
          <w:rFonts w:ascii="Times New Roman" w:hAnsi="Times New Roman" w:cs="Times New Roman"/>
          <w:i/>
          <w:iCs/>
          <w:sz w:val="20"/>
        </w:rPr>
        <w:t>Magnitude-based decisions</w:t>
      </w:r>
      <w:r w:rsidRPr="00DF0C2E">
        <w:rPr>
          <w:rFonts w:ascii="Times New Roman" w:hAnsi="Times New Roman" w:cs="Times New Roman"/>
          <w:sz w:val="20"/>
        </w:rPr>
        <w:t>. http://sportsci.org/2019/index.html</w:t>
      </w:r>
    </w:p>
    <w:p w14:paraId="66815AD1"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Impellizzeri, F. M., Marcora, S. M., &amp; Coutts, A. J. (2019). Internal and External Training Load: 15 Years On. </w:t>
      </w:r>
      <w:r w:rsidRPr="00DF0C2E">
        <w:rPr>
          <w:rFonts w:ascii="Times New Roman" w:hAnsi="Times New Roman" w:cs="Times New Roman"/>
          <w:i/>
          <w:iCs/>
          <w:sz w:val="20"/>
        </w:rPr>
        <w:t>International Journal of Sports Physiology and Performance</w:t>
      </w:r>
      <w:r w:rsidRPr="00DF0C2E">
        <w:rPr>
          <w:rFonts w:ascii="Times New Roman" w:hAnsi="Times New Roman" w:cs="Times New Roman"/>
          <w:sz w:val="20"/>
        </w:rPr>
        <w:t xml:space="preserve">, </w:t>
      </w:r>
      <w:r w:rsidRPr="00DF0C2E">
        <w:rPr>
          <w:rFonts w:ascii="Times New Roman" w:hAnsi="Times New Roman" w:cs="Times New Roman"/>
          <w:i/>
          <w:iCs/>
          <w:sz w:val="20"/>
        </w:rPr>
        <w:t>14</w:t>
      </w:r>
      <w:r w:rsidRPr="00DF0C2E">
        <w:rPr>
          <w:rFonts w:ascii="Times New Roman" w:hAnsi="Times New Roman" w:cs="Times New Roman"/>
          <w:sz w:val="20"/>
        </w:rPr>
        <w:t>(2), 270–273. https://doi.org/10.1123/ijspp.2018-0935</w:t>
      </w:r>
    </w:p>
    <w:p w14:paraId="0B85F11A"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Kalkhoven, J. T., Watsford, M. L., Coutts, A. J., Edwards, W. B., &amp; Impellizzeri, F. M. (2021). Training Load and Injury: Causal Pathways and Future Directions. </w:t>
      </w:r>
      <w:r w:rsidRPr="00DF0C2E">
        <w:rPr>
          <w:rFonts w:ascii="Times New Roman" w:hAnsi="Times New Roman" w:cs="Times New Roman"/>
          <w:i/>
          <w:iCs/>
          <w:sz w:val="20"/>
        </w:rPr>
        <w:t>Sports Medicine</w:t>
      </w:r>
      <w:r w:rsidRPr="00DF0C2E">
        <w:rPr>
          <w:rFonts w:ascii="Times New Roman" w:hAnsi="Times New Roman" w:cs="Times New Roman"/>
          <w:sz w:val="20"/>
        </w:rPr>
        <w:t>. https://doi.org/10.1007/s40279-020-01413-6</w:t>
      </w:r>
    </w:p>
    <w:p w14:paraId="2C7F1883"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Khamis, H. J., &amp; Roche, A. F. (1994). Predicting Adult Stature Without Using Skeletal Age: The Khamis-Roche Method. </w:t>
      </w:r>
      <w:r w:rsidRPr="00DF0C2E">
        <w:rPr>
          <w:rFonts w:ascii="Times New Roman" w:hAnsi="Times New Roman" w:cs="Times New Roman"/>
          <w:i/>
          <w:iCs/>
          <w:sz w:val="20"/>
        </w:rPr>
        <w:t>Pediatrics</w:t>
      </w:r>
      <w:r w:rsidRPr="00DF0C2E">
        <w:rPr>
          <w:rFonts w:ascii="Times New Roman" w:hAnsi="Times New Roman" w:cs="Times New Roman"/>
          <w:sz w:val="20"/>
        </w:rPr>
        <w:t xml:space="preserve">, </w:t>
      </w:r>
      <w:r w:rsidRPr="00DF0C2E">
        <w:rPr>
          <w:rFonts w:ascii="Times New Roman" w:hAnsi="Times New Roman" w:cs="Times New Roman"/>
          <w:i/>
          <w:iCs/>
          <w:sz w:val="20"/>
        </w:rPr>
        <w:t>94</w:t>
      </w:r>
      <w:r w:rsidRPr="00DF0C2E">
        <w:rPr>
          <w:rFonts w:ascii="Times New Roman" w:hAnsi="Times New Roman" w:cs="Times New Roman"/>
          <w:sz w:val="20"/>
        </w:rPr>
        <w:t>(4), 504–507.</w:t>
      </w:r>
    </w:p>
    <w:p w14:paraId="22DC178F"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Lloyd, R. S., Oliver, J. L., Hughes, M. G., &amp; Williams, C. A. (2009). Reliability and validity of field-based measures of leg stiffness and reactive strength index in youths. </w:t>
      </w:r>
      <w:r w:rsidRPr="00DF0C2E">
        <w:rPr>
          <w:rFonts w:ascii="Times New Roman" w:hAnsi="Times New Roman" w:cs="Times New Roman"/>
          <w:i/>
          <w:iCs/>
          <w:sz w:val="20"/>
        </w:rPr>
        <w:t>Journal of Sports Sciences</w:t>
      </w:r>
      <w:r w:rsidRPr="00DF0C2E">
        <w:rPr>
          <w:rFonts w:ascii="Times New Roman" w:hAnsi="Times New Roman" w:cs="Times New Roman"/>
          <w:sz w:val="20"/>
        </w:rPr>
        <w:t xml:space="preserve">, </w:t>
      </w:r>
      <w:r w:rsidRPr="00DF0C2E">
        <w:rPr>
          <w:rFonts w:ascii="Times New Roman" w:hAnsi="Times New Roman" w:cs="Times New Roman"/>
          <w:i/>
          <w:iCs/>
          <w:sz w:val="20"/>
        </w:rPr>
        <w:t>27</w:t>
      </w:r>
      <w:r w:rsidRPr="00DF0C2E">
        <w:rPr>
          <w:rFonts w:ascii="Times New Roman" w:hAnsi="Times New Roman" w:cs="Times New Roman"/>
          <w:sz w:val="20"/>
        </w:rPr>
        <w:t>(14), 1565–1573. https://doi.org/10.1080/02640410903311572</w:t>
      </w:r>
    </w:p>
    <w:p w14:paraId="708084BD"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Lloyd, R. S., Oliver, J. L., Radnor, J. M., Rhodes, B. C., Faigenbaum, A., &amp; Myer, G. (2015). Relationships between functional movement screen scores, maturation and physical performance in young soccer players. </w:t>
      </w:r>
      <w:r w:rsidRPr="00DF0C2E">
        <w:rPr>
          <w:rFonts w:ascii="Times New Roman" w:hAnsi="Times New Roman" w:cs="Times New Roman"/>
          <w:i/>
          <w:iCs/>
          <w:sz w:val="20"/>
        </w:rPr>
        <w:t>Journal of Sports Sciences</w:t>
      </w:r>
      <w:r w:rsidRPr="00DF0C2E">
        <w:rPr>
          <w:rFonts w:ascii="Times New Roman" w:hAnsi="Times New Roman" w:cs="Times New Roman"/>
          <w:sz w:val="20"/>
        </w:rPr>
        <w:t xml:space="preserve">, </w:t>
      </w:r>
      <w:r w:rsidRPr="00DF0C2E">
        <w:rPr>
          <w:rFonts w:ascii="Times New Roman" w:hAnsi="Times New Roman" w:cs="Times New Roman"/>
          <w:i/>
          <w:iCs/>
          <w:sz w:val="20"/>
        </w:rPr>
        <w:t>33</w:t>
      </w:r>
      <w:r w:rsidRPr="00DF0C2E">
        <w:rPr>
          <w:rFonts w:ascii="Times New Roman" w:hAnsi="Times New Roman" w:cs="Times New Roman"/>
          <w:sz w:val="20"/>
        </w:rPr>
        <w:t>(1), 11–19. https://doi.org/10.1080/02640414.2014.918642</w:t>
      </w:r>
    </w:p>
    <w:p w14:paraId="0D7144EB"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Malina, R. M., Bouchard, C., &amp; Bar-Or, O. (2004). </w:t>
      </w:r>
      <w:r w:rsidRPr="00DF0C2E">
        <w:rPr>
          <w:rFonts w:ascii="Times New Roman" w:hAnsi="Times New Roman" w:cs="Times New Roman"/>
          <w:i/>
          <w:iCs/>
          <w:sz w:val="20"/>
        </w:rPr>
        <w:t>Growth, Maturation, and Physical Activity</w:t>
      </w:r>
      <w:r w:rsidRPr="00DF0C2E">
        <w:rPr>
          <w:rFonts w:ascii="Times New Roman" w:hAnsi="Times New Roman" w:cs="Times New Roman"/>
          <w:sz w:val="20"/>
        </w:rPr>
        <w:t>. Human Kinetics.</w:t>
      </w:r>
    </w:p>
    <w:p w14:paraId="4D6DA165"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Malina, R. M., Cumming, S. P., Rogol, A. D., Coelho-e-Silva, M. J., Figueiredo, A. J., Konarski, J. M., &amp; Kozieł, S. M. (2019). Bio-Banding in Youth Sports: Background, Concept, and Application. </w:t>
      </w:r>
      <w:r w:rsidRPr="00DF0C2E">
        <w:rPr>
          <w:rFonts w:ascii="Times New Roman" w:hAnsi="Times New Roman" w:cs="Times New Roman"/>
          <w:i/>
          <w:iCs/>
          <w:sz w:val="20"/>
        </w:rPr>
        <w:t>Sports Medicine</w:t>
      </w:r>
      <w:r w:rsidRPr="00DF0C2E">
        <w:rPr>
          <w:rFonts w:ascii="Times New Roman" w:hAnsi="Times New Roman" w:cs="Times New Roman"/>
          <w:sz w:val="20"/>
        </w:rPr>
        <w:t xml:space="preserve">, </w:t>
      </w:r>
      <w:r w:rsidRPr="00DF0C2E">
        <w:rPr>
          <w:rFonts w:ascii="Times New Roman" w:hAnsi="Times New Roman" w:cs="Times New Roman"/>
          <w:i/>
          <w:iCs/>
          <w:sz w:val="20"/>
        </w:rPr>
        <w:t>49</w:t>
      </w:r>
      <w:r w:rsidRPr="00DF0C2E">
        <w:rPr>
          <w:rFonts w:ascii="Times New Roman" w:hAnsi="Times New Roman" w:cs="Times New Roman"/>
          <w:sz w:val="20"/>
        </w:rPr>
        <w:t>(11), 1671–1685. https://doi.org/10.1007/s40279-019-01166-x</w:t>
      </w:r>
    </w:p>
    <w:p w14:paraId="01D5781C"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McLaren, S. J. (2017). </w:t>
      </w:r>
      <w:r w:rsidRPr="00DF0C2E">
        <w:rPr>
          <w:rFonts w:ascii="Times New Roman" w:hAnsi="Times New Roman" w:cs="Times New Roman"/>
          <w:i/>
          <w:iCs/>
          <w:sz w:val="20"/>
        </w:rPr>
        <w:t>The application of differential ratings of perceived exertion to training monitoring in team sports</w:t>
      </w:r>
      <w:r w:rsidRPr="00DF0C2E">
        <w:rPr>
          <w:rFonts w:ascii="Times New Roman" w:hAnsi="Times New Roman" w:cs="Times New Roman"/>
          <w:sz w:val="20"/>
        </w:rPr>
        <w:t>. Teesside University.</w:t>
      </w:r>
    </w:p>
    <w:p w14:paraId="756D8A88"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McLaren, S. J., Smith, A., Spears, I. R., &amp; Weston, M. (2017). A detailed quantification of differential ratings of perceived exertion during team-sport training. </w:t>
      </w:r>
      <w:r w:rsidRPr="00DF0C2E">
        <w:rPr>
          <w:rFonts w:ascii="Times New Roman" w:hAnsi="Times New Roman" w:cs="Times New Roman"/>
          <w:i/>
          <w:iCs/>
          <w:sz w:val="20"/>
        </w:rPr>
        <w:t>Journal of Science and Medicine in Sport</w:t>
      </w:r>
      <w:r w:rsidRPr="00DF0C2E">
        <w:rPr>
          <w:rFonts w:ascii="Times New Roman" w:hAnsi="Times New Roman" w:cs="Times New Roman"/>
          <w:sz w:val="20"/>
        </w:rPr>
        <w:t xml:space="preserve">, </w:t>
      </w:r>
      <w:r w:rsidRPr="00DF0C2E">
        <w:rPr>
          <w:rFonts w:ascii="Times New Roman" w:hAnsi="Times New Roman" w:cs="Times New Roman"/>
          <w:i/>
          <w:iCs/>
          <w:sz w:val="20"/>
        </w:rPr>
        <w:t>20</w:t>
      </w:r>
      <w:r w:rsidRPr="00DF0C2E">
        <w:rPr>
          <w:rFonts w:ascii="Times New Roman" w:hAnsi="Times New Roman" w:cs="Times New Roman"/>
          <w:sz w:val="20"/>
        </w:rPr>
        <w:t>(3), 290–295. https://doi.org/10.1016/j.jsams.2016.06.011</w:t>
      </w:r>
    </w:p>
    <w:p w14:paraId="066884BD"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Meyers, R. W., Oliver, J. L., Hughes, M. G., Lloyd, R. S., &amp; Cronin, J. B. (2017). Influence of Age, Maturity, and Body Size on the Spatiotemporal Determinants of Maximal Sprint Speed in Boys: </w:t>
      </w:r>
      <w:r w:rsidRPr="00DF0C2E">
        <w:rPr>
          <w:rFonts w:ascii="Times New Roman" w:hAnsi="Times New Roman" w:cs="Times New Roman"/>
          <w:i/>
          <w:iCs/>
          <w:sz w:val="20"/>
        </w:rPr>
        <w:t>Journal of Strength and Conditioning Research</w:t>
      </w:r>
      <w:r w:rsidRPr="00DF0C2E">
        <w:rPr>
          <w:rFonts w:ascii="Times New Roman" w:hAnsi="Times New Roman" w:cs="Times New Roman"/>
          <w:sz w:val="20"/>
        </w:rPr>
        <w:t xml:space="preserve">, </w:t>
      </w:r>
      <w:r w:rsidRPr="00DF0C2E">
        <w:rPr>
          <w:rFonts w:ascii="Times New Roman" w:hAnsi="Times New Roman" w:cs="Times New Roman"/>
          <w:i/>
          <w:iCs/>
          <w:sz w:val="20"/>
        </w:rPr>
        <w:t>31</w:t>
      </w:r>
      <w:r w:rsidRPr="00DF0C2E">
        <w:rPr>
          <w:rFonts w:ascii="Times New Roman" w:hAnsi="Times New Roman" w:cs="Times New Roman"/>
          <w:sz w:val="20"/>
        </w:rPr>
        <w:t>(4), 1009–1016. https://doi.org/10.1519/JSC.0000000000001310</w:t>
      </w:r>
    </w:p>
    <w:p w14:paraId="72B8FE7B"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lastRenderedPageBreak/>
        <w:t xml:space="preserve">Parr, J., Winwood, K., Hodson-Tole, E., Deconinck, F. J. A., Parry, L., Hill, J. P., Malina, R. M., &amp; Cumming, S. P. (2020). Predicting the timing of the peak of the pubertal growth spurt in elite youth soccer players: Evaluation of methods. </w:t>
      </w:r>
      <w:r w:rsidRPr="00DF0C2E">
        <w:rPr>
          <w:rFonts w:ascii="Times New Roman" w:hAnsi="Times New Roman" w:cs="Times New Roman"/>
          <w:i/>
          <w:iCs/>
          <w:sz w:val="20"/>
        </w:rPr>
        <w:t>Annals of Human Biology</w:t>
      </w:r>
      <w:r w:rsidRPr="00DF0C2E">
        <w:rPr>
          <w:rFonts w:ascii="Times New Roman" w:hAnsi="Times New Roman" w:cs="Times New Roman"/>
          <w:sz w:val="20"/>
        </w:rPr>
        <w:t xml:space="preserve">, </w:t>
      </w:r>
      <w:r w:rsidRPr="00DF0C2E">
        <w:rPr>
          <w:rFonts w:ascii="Times New Roman" w:hAnsi="Times New Roman" w:cs="Times New Roman"/>
          <w:i/>
          <w:iCs/>
          <w:sz w:val="20"/>
        </w:rPr>
        <w:t>0</w:t>
      </w:r>
      <w:r w:rsidRPr="00DF0C2E">
        <w:rPr>
          <w:rFonts w:ascii="Times New Roman" w:hAnsi="Times New Roman" w:cs="Times New Roman"/>
          <w:sz w:val="20"/>
        </w:rPr>
        <w:t>(ja), 1–23. https://doi.org/10.1080/03014460.2020.1782989</w:t>
      </w:r>
    </w:p>
    <w:p w14:paraId="3E079AE3"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Phibbs, P. J., Jones, B., Roe, G., Read, D., Darrall-Jones, J., Weakley, J., Rock, A., &amp; Till, K. (2018). The organised chaos of English adolescent rugby union: Influence of weekly match frequency on the variability of match and training loads. </w:t>
      </w:r>
      <w:r w:rsidRPr="00DF0C2E">
        <w:rPr>
          <w:rFonts w:ascii="Times New Roman" w:hAnsi="Times New Roman" w:cs="Times New Roman"/>
          <w:i/>
          <w:iCs/>
          <w:sz w:val="20"/>
        </w:rPr>
        <w:t>European Journal of Sport Science</w:t>
      </w:r>
      <w:r w:rsidRPr="00DF0C2E">
        <w:rPr>
          <w:rFonts w:ascii="Times New Roman" w:hAnsi="Times New Roman" w:cs="Times New Roman"/>
          <w:sz w:val="20"/>
        </w:rPr>
        <w:t xml:space="preserve">, </w:t>
      </w:r>
      <w:r w:rsidRPr="00DF0C2E">
        <w:rPr>
          <w:rFonts w:ascii="Times New Roman" w:hAnsi="Times New Roman" w:cs="Times New Roman"/>
          <w:i/>
          <w:iCs/>
          <w:sz w:val="20"/>
        </w:rPr>
        <w:t>18</w:t>
      </w:r>
      <w:r w:rsidRPr="00DF0C2E">
        <w:rPr>
          <w:rFonts w:ascii="Times New Roman" w:hAnsi="Times New Roman" w:cs="Times New Roman"/>
          <w:sz w:val="20"/>
        </w:rPr>
        <w:t>(3), 341–348. https://doi.org/10.1080/17461391.2017.1418026</w:t>
      </w:r>
    </w:p>
    <w:p w14:paraId="44CDC703"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Premier League. (2011). </w:t>
      </w:r>
      <w:r w:rsidRPr="00DF0C2E">
        <w:rPr>
          <w:rFonts w:ascii="Times New Roman" w:hAnsi="Times New Roman" w:cs="Times New Roman"/>
          <w:i/>
          <w:iCs/>
          <w:sz w:val="20"/>
        </w:rPr>
        <w:t>The Elite Player Performance Plan</w:t>
      </w:r>
      <w:r w:rsidRPr="00DF0C2E">
        <w:rPr>
          <w:rFonts w:ascii="Times New Roman" w:hAnsi="Times New Roman" w:cs="Times New Roman"/>
          <w:sz w:val="20"/>
        </w:rPr>
        <w:t>. English Premier League.</w:t>
      </w:r>
    </w:p>
    <w:p w14:paraId="2558A20C"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Radnor, J. M., Oliver, J. L., Waugh, C. M., Myer, G., &amp; Lloyd, R. S. (2020). The Influence of Maturity Status on Muscle Architecture in School-Aged Boys. </w:t>
      </w:r>
      <w:r w:rsidRPr="00DF0C2E">
        <w:rPr>
          <w:rFonts w:ascii="Times New Roman" w:hAnsi="Times New Roman" w:cs="Times New Roman"/>
          <w:i/>
          <w:iCs/>
          <w:sz w:val="20"/>
        </w:rPr>
        <w:t>Pediatric Exercise Science</w:t>
      </w:r>
      <w:r w:rsidRPr="00DF0C2E">
        <w:rPr>
          <w:rFonts w:ascii="Times New Roman" w:hAnsi="Times New Roman" w:cs="Times New Roman"/>
          <w:sz w:val="20"/>
        </w:rPr>
        <w:t xml:space="preserve">, </w:t>
      </w:r>
      <w:r w:rsidRPr="00DF0C2E">
        <w:rPr>
          <w:rFonts w:ascii="Times New Roman" w:hAnsi="Times New Roman" w:cs="Times New Roman"/>
          <w:i/>
          <w:iCs/>
          <w:sz w:val="20"/>
        </w:rPr>
        <w:t>32</w:t>
      </w:r>
      <w:r w:rsidRPr="00DF0C2E">
        <w:rPr>
          <w:rFonts w:ascii="Times New Roman" w:hAnsi="Times New Roman" w:cs="Times New Roman"/>
          <w:sz w:val="20"/>
        </w:rPr>
        <w:t>(2), 89–96. https://doi.org/10.1123/pes.2019-0201</w:t>
      </w:r>
    </w:p>
    <w:p w14:paraId="544D65AC"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Read, P., Oliver, J. L., De Ste Croix, M. B. A., Myer, G., &amp; Lloyd, R. S. (2018). An audit of injuries in six english professional soccer academies. </w:t>
      </w:r>
      <w:r w:rsidRPr="00DF0C2E">
        <w:rPr>
          <w:rFonts w:ascii="Times New Roman" w:hAnsi="Times New Roman" w:cs="Times New Roman"/>
          <w:i/>
          <w:iCs/>
          <w:sz w:val="20"/>
        </w:rPr>
        <w:t>Journal of Sports Sciences</w:t>
      </w:r>
      <w:r w:rsidRPr="00DF0C2E">
        <w:rPr>
          <w:rFonts w:ascii="Times New Roman" w:hAnsi="Times New Roman" w:cs="Times New Roman"/>
          <w:sz w:val="20"/>
        </w:rPr>
        <w:t xml:space="preserve">, </w:t>
      </w:r>
      <w:r w:rsidRPr="00DF0C2E">
        <w:rPr>
          <w:rFonts w:ascii="Times New Roman" w:hAnsi="Times New Roman" w:cs="Times New Roman"/>
          <w:i/>
          <w:iCs/>
          <w:sz w:val="20"/>
        </w:rPr>
        <w:t>36</w:t>
      </w:r>
      <w:r w:rsidRPr="00DF0C2E">
        <w:rPr>
          <w:rFonts w:ascii="Times New Roman" w:hAnsi="Times New Roman" w:cs="Times New Roman"/>
          <w:sz w:val="20"/>
        </w:rPr>
        <w:t>(13), 1542–1548. https://doi.org/10.1080/02640414.2017.1402535</w:t>
      </w:r>
    </w:p>
    <w:p w14:paraId="384263FB"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Rommers, N., Rössler, R., Goossens, L., Vaeyens, R., Lenoir, M., Witvrouw, E., &amp; D’Hondt, E. (2020). Risk of acute and overuse injuries in youth elite soccer players: Body size and growth matter. </w:t>
      </w:r>
      <w:r w:rsidRPr="00DF0C2E">
        <w:rPr>
          <w:rFonts w:ascii="Times New Roman" w:hAnsi="Times New Roman" w:cs="Times New Roman"/>
          <w:i/>
          <w:iCs/>
          <w:sz w:val="20"/>
        </w:rPr>
        <w:t>Journal of Science and Medicine in Sport</w:t>
      </w:r>
      <w:r w:rsidRPr="00DF0C2E">
        <w:rPr>
          <w:rFonts w:ascii="Times New Roman" w:hAnsi="Times New Roman" w:cs="Times New Roman"/>
          <w:sz w:val="20"/>
        </w:rPr>
        <w:t xml:space="preserve">, </w:t>
      </w:r>
      <w:r w:rsidRPr="00DF0C2E">
        <w:rPr>
          <w:rFonts w:ascii="Times New Roman" w:hAnsi="Times New Roman" w:cs="Times New Roman"/>
          <w:i/>
          <w:iCs/>
          <w:sz w:val="20"/>
        </w:rPr>
        <w:t>23</w:t>
      </w:r>
      <w:r w:rsidRPr="00DF0C2E">
        <w:rPr>
          <w:rFonts w:ascii="Times New Roman" w:hAnsi="Times New Roman" w:cs="Times New Roman"/>
          <w:sz w:val="20"/>
        </w:rPr>
        <w:t>(3), 246–251. https://doi.org/10.1016/j.jsams.2019.10.001</w:t>
      </w:r>
    </w:p>
    <w:p w14:paraId="66026E9F"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Salter, J., De Ste Croix, M. B. A., &amp; Hughes, J. D. (2020). The moderating impact of maturation on acute neuromuscular and psycho-physiological responses to simulated soccer activity in academy soccer players. </w:t>
      </w:r>
      <w:r w:rsidRPr="00DF0C2E">
        <w:rPr>
          <w:rFonts w:ascii="Times New Roman" w:hAnsi="Times New Roman" w:cs="Times New Roman"/>
          <w:i/>
          <w:iCs/>
          <w:sz w:val="20"/>
        </w:rPr>
        <w:t>European Journal of Sport Science</w:t>
      </w:r>
      <w:r w:rsidRPr="00DF0C2E">
        <w:rPr>
          <w:rFonts w:ascii="Times New Roman" w:hAnsi="Times New Roman" w:cs="Times New Roman"/>
          <w:sz w:val="20"/>
        </w:rPr>
        <w:t xml:space="preserve">, </w:t>
      </w:r>
      <w:r w:rsidRPr="00DF0C2E">
        <w:rPr>
          <w:rFonts w:ascii="Times New Roman" w:hAnsi="Times New Roman" w:cs="Times New Roman"/>
          <w:i/>
          <w:iCs/>
          <w:sz w:val="20"/>
        </w:rPr>
        <w:t>In press</w:t>
      </w:r>
      <w:r w:rsidRPr="00DF0C2E">
        <w:rPr>
          <w:rFonts w:ascii="Times New Roman" w:hAnsi="Times New Roman" w:cs="Times New Roman"/>
          <w:sz w:val="20"/>
        </w:rPr>
        <w:t>, 17.</w:t>
      </w:r>
    </w:p>
    <w:p w14:paraId="065AACD2"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Salter, J., De Ste Croix, M. B. A., Hughes, J. D., Weston, M., &amp; Towlson, C. (2020). Monitoring practices of training load and biological maturity in UK soccer academies. </w:t>
      </w:r>
      <w:r w:rsidRPr="00DF0C2E">
        <w:rPr>
          <w:rFonts w:ascii="Times New Roman" w:hAnsi="Times New Roman" w:cs="Times New Roman"/>
          <w:i/>
          <w:iCs/>
          <w:sz w:val="20"/>
        </w:rPr>
        <w:t>International Journal of Sports Physiology and Performance</w:t>
      </w:r>
      <w:r w:rsidRPr="00DF0C2E">
        <w:rPr>
          <w:rFonts w:ascii="Times New Roman" w:hAnsi="Times New Roman" w:cs="Times New Roman"/>
          <w:sz w:val="20"/>
        </w:rPr>
        <w:t>, 28.</w:t>
      </w:r>
    </w:p>
    <w:p w14:paraId="5FA4ACB5"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van der Sluis, A., Elferink-Gemser, M., Coelho-e-Silva, M., Nijboer, J., Brink, M., &amp; Visscher, C. (2013). Sport Injuries Aligned to Peak Height Velocity in Talented Pubertal Soccer Players. </w:t>
      </w:r>
      <w:r w:rsidRPr="00DF0C2E">
        <w:rPr>
          <w:rFonts w:ascii="Times New Roman" w:hAnsi="Times New Roman" w:cs="Times New Roman"/>
          <w:i/>
          <w:iCs/>
          <w:sz w:val="20"/>
        </w:rPr>
        <w:t>International Journal of Sports Medicine</w:t>
      </w:r>
      <w:r w:rsidRPr="00DF0C2E">
        <w:rPr>
          <w:rFonts w:ascii="Times New Roman" w:hAnsi="Times New Roman" w:cs="Times New Roman"/>
          <w:sz w:val="20"/>
        </w:rPr>
        <w:t xml:space="preserve">, </w:t>
      </w:r>
      <w:r w:rsidRPr="00DF0C2E">
        <w:rPr>
          <w:rFonts w:ascii="Times New Roman" w:hAnsi="Times New Roman" w:cs="Times New Roman"/>
          <w:i/>
          <w:iCs/>
          <w:sz w:val="20"/>
        </w:rPr>
        <w:t>35</w:t>
      </w:r>
      <w:r w:rsidRPr="00DF0C2E">
        <w:rPr>
          <w:rFonts w:ascii="Times New Roman" w:hAnsi="Times New Roman" w:cs="Times New Roman"/>
          <w:sz w:val="20"/>
        </w:rPr>
        <w:t>(04), 351–355. https://doi.org/10.1055/s-0033-1349874</w:t>
      </w:r>
    </w:p>
    <w:p w14:paraId="4B829357"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Vanrenterghem, J., Nedergaard, N. J., Robinson, M. A., &amp; Drust, B. (2017). Training Load Monitoring in Team Sports: A Novel Framework Separating Physiological and Biomechanical Load-Adaptation Pathways. </w:t>
      </w:r>
      <w:r w:rsidRPr="00DF0C2E">
        <w:rPr>
          <w:rFonts w:ascii="Times New Roman" w:hAnsi="Times New Roman" w:cs="Times New Roman"/>
          <w:i/>
          <w:iCs/>
          <w:sz w:val="20"/>
        </w:rPr>
        <w:t>Sports Medicine</w:t>
      </w:r>
      <w:r w:rsidRPr="00DF0C2E">
        <w:rPr>
          <w:rFonts w:ascii="Times New Roman" w:hAnsi="Times New Roman" w:cs="Times New Roman"/>
          <w:sz w:val="20"/>
        </w:rPr>
        <w:t xml:space="preserve">, </w:t>
      </w:r>
      <w:r w:rsidRPr="00DF0C2E">
        <w:rPr>
          <w:rFonts w:ascii="Times New Roman" w:hAnsi="Times New Roman" w:cs="Times New Roman"/>
          <w:i/>
          <w:iCs/>
          <w:sz w:val="20"/>
        </w:rPr>
        <w:t>47</w:t>
      </w:r>
      <w:r w:rsidRPr="00DF0C2E">
        <w:rPr>
          <w:rFonts w:ascii="Times New Roman" w:hAnsi="Times New Roman" w:cs="Times New Roman"/>
          <w:sz w:val="20"/>
        </w:rPr>
        <w:t>(11), 2135–2142. https://doi.org/10.1007/s40279-017-0714-2</w:t>
      </w:r>
    </w:p>
    <w:p w14:paraId="6B5B468C"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Williams, C., Winsley, R. J., Pinho, G., De Ste Croix, M. B. A., Lloyd, R. S., &amp; Oliver, J. L. (2017). Prevalence of non-functional overreaching in elite male and female youth academy football players. </w:t>
      </w:r>
      <w:r w:rsidRPr="00DF0C2E">
        <w:rPr>
          <w:rFonts w:ascii="Times New Roman" w:hAnsi="Times New Roman" w:cs="Times New Roman"/>
          <w:i/>
          <w:iCs/>
          <w:sz w:val="20"/>
        </w:rPr>
        <w:t>Science and Medicine in Football</w:t>
      </w:r>
      <w:r w:rsidRPr="00DF0C2E">
        <w:rPr>
          <w:rFonts w:ascii="Times New Roman" w:hAnsi="Times New Roman" w:cs="Times New Roman"/>
          <w:sz w:val="20"/>
        </w:rPr>
        <w:t xml:space="preserve">, </w:t>
      </w:r>
      <w:r w:rsidRPr="00DF0C2E">
        <w:rPr>
          <w:rFonts w:ascii="Times New Roman" w:hAnsi="Times New Roman" w:cs="Times New Roman"/>
          <w:i/>
          <w:iCs/>
          <w:sz w:val="20"/>
        </w:rPr>
        <w:t>1</w:t>
      </w:r>
      <w:r w:rsidRPr="00DF0C2E">
        <w:rPr>
          <w:rFonts w:ascii="Times New Roman" w:hAnsi="Times New Roman" w:cs="Times New Roman"/>
          <w:sz w:val="20"/>
        </w:rPr>
        <w:t>(3), 222–228. https://doi.org/10.1080/24733938.2017.1336282</w:t>
      </w:r>
    </w:p>
    <w:p w14:paraId="27AE4FD0"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lastRenderedPageBreak/>
        <w:t xml:space="preserve">Wright, M., Songane, F., Emmonds, S., Chesterton, P., Weston, M., &amp; Mclaren, S. J. (2020). Differential Ratings of Perceived Match and Training Exertion in Girls’ Soccer. </w:t>
      </w:r>
      <w:r w:rsidRPr="00DF0C2E">
        <w:rPr>
          <w:rFonts w:ascii="Times New Roman" w:hAnsi="Times New Roman" w:cs="Times New Roman"/>
          <w:i/>
          <w:iCs/>
          <w:sz w:val="20"/>
        </w:rPr>
        <w:t>International Journal of Sports Physiology and Performance</w:t>
      </w:r>
      <w:r w:rsidRPr="00DF0C2E">
        <w:rPr>
          <w:rFonts w:ascii="Times New Roman" w:hAnsi="Times New Roman" w:cs="Times New Roman"/>
          <w:sz w:val="20"/>
        </w:rPr>
        <w:t xml:space="preserve">, </w:t>
      </w:r>
      <w:r w:rsidRPr="00DF0C2E">
        <w:rPr>
          <w:rFonts w:ascii="Times New Roman" w:hAnsi="Times New Roman" w:cs="Times New Roman"/>
          <w:i/>
          <w:iCs/>
          <w:sz w:val="20"/>
        </w:rPr>
        <w:t>1</w:t>
      </w:r>
      <w:r w:rsidRPr="00DF0C2E">
        <w:rPr>
          <w:rFonts w:ascii="Times New Roman" w:hAnsi="Times New Roman" w:cs="Times New Roman"/>
          <w:sz w:val="20"/>
        </w:rPr>
        <w:t>(aop), 1–9. https://doi.org/10.1123/ijspp.2019-0595</w:t>
      </w:r>
    </w:p>
    <w:p w14:paraId="6538A837" w14:textId="77777777" w:rsidR="00DF0C2E" w:rsidRPr="00DF0C2E" w:rsidRDefault="00DF0C2E" w:rsidP="00DF0C2E">
      <w:pPr>
        <w:pStyle w:val="Bibliography"/>
        <w:rPr>
          <w:rFonts w:ascii="Times New Roman" w:hAnsi="Times New Roman" w:cs="Times New Roman"/>
          <w:sz w:val="20"/>
        </w:rPr>
      </w:pPr>
      <w:r w:rsidRPr="00DF0C2E">
        <w:rPr>
          <w:rFonts w:ascii="Times New Roman" w:hAnsi="Times New Roman" w:cs="Times New Roman"/>
          <w:sz w:val="20"/>
        </w:rPr>
        <w:t xml:space="preserve">Wrigley, R., Drust, B., Stratton, G., Scott, M., &amp; Gregson, W. (2012). Quantification of the typical weekly in-season training load in elite junior soccer players. </w:t>
      </w:r>
      <w:r w:rsidRPr="00DF0C2E">
        <w:rPr>
          <w:rFonts w:ascii="Times New Roman" w:hAnsi="Times New Roman" w:cs="Times New Roman"/>
          <w:i/>
          <w:iCs/>
          <w:sz w:val="20"/>
        </w:rPr>
        <w:t>Journal of Sports Sciences</w:t>
      </w:r>
      <w:r w:rsidRPr="00DF0C2E">
        <w:rPr>
          <w:rFonts w:ascii="Times New Roman" w:hAnsi="Times New Roman" w:cs="Times New Roman"/>
          <w:sz w:val="20"/>
        </w:rPr>
        <w:t xml:space="preserve">, </w:t>
      </w:r>
      <w:r w:rsidRPr="00DF0C2E">
        <w:rPr>
          <w:rFonts w:ascii="Times New Roman" w:hAnsi="Times New Roman" w:cs="Times New Roman"/>
          <w:i/>
          <w:iCs/>
          <w:sz w:val="20"/>
        </w:rPr>
        <w:t>30</w:t>
      </w:r>
      <w:r w:rsidRPr="00DF0C2E">
        <w:rPr>
          <w:rFonts w:ascii="Times New Roman" w:hAnsi="Times New Roman" w:cs="Times New Roman"/>
          <w:sz w:val="20"/>
        </w:rPr>
        <w:t>(15), 1573–1580. https://doi.org/10.1080/02640414.2012.709265</w:t>
      </w:r>
    </w:p>
    <w:p w14:paraId="0EC2BA0F" w14:textId="3BF1085D" w:rsidR="00835C45" w:rsidRDefault="00835C45" w:rsidP="00835C45">
      <w:pPr>
        <w:spacing w:line="480" w:lineRule="auto"/>
        <w:rPr>
          <w:rFonts w:ascii="Times New Roman" w:hAnsi="Times New Roman" w:cs="Times New Roman"/>
          <w:b/>
          <w:bCs/>
          <w:sz w:val="20"/>
          <w:szCs w:val="20"/>
        </w:rPr>
      </w:pPr>
      <w:r>
        <w:rPr>
          <w:rFonts w:ascii="Times New Roman" w:hAnsi="Times New Roman" w:cs="Times New Roman"/>
          <w:b/>
          <w:bCs/>
          <w:sz w:val="20"/>
          <w:szCs w:val="20"/>
        </w:rPr>
        <w:fldChar w:fldCharType="end"/>
      </w:r>
    </w:p>
    <w:p w14:paraId="5F689243" w14:textId="77777777" w:rsidR="00835C45" w:rsidRDefault="00835C45" w:rsidP="00835C45">
      <w:pPr>
        <w:rPr>
          <w:rFonts w:ascii="Times New Roman" w:hAnsi="Times New Roman" w:cs="Times New Roman"/>
          <w:sz w:val="20"/>
          <w:szCs w:val="20"/>
        </w:rPr>
      </w:pPr>
      <w:r>
        <w:rPr>
          <w:rFonts w:ascii="Times New Roman" w:hAnsi="Times New Roman" w:cs="Times New Roman"/>
          <w:sz w:val="20"/>
          <w:szCs w:val="20"/>
        </w:rPr>
        <w:br w:type="page"/>
      </w:r>
    </w:p>
    <w:tbl>
      <w:tblPr>
        <w:tblStyle w:val="TableGrid"/>
        <w:tblW w:w="68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0"/>
        <w:gridCol w:w="1180"/>
        <w:gridCol w:w="1276"/>
        <w:gridCol w:w="1275"/>
        <w:gridCol w:w="1418"/>
      </w:tblGrid>
      <w:tr w:rsidR="00835C45" w:rsidRPr="0056612C" w14:paraId="63D0847E" w14:textId="77777777" w:rsidTr="005C2571">
        <w:trPr>
          <w:jc w:val="center"/>
        </w:trPr>
        <w:tc>
          <w:tcPr>
            <w:tcW w:w="6809" w:type="dxa"/>
            <w:gridSpan w:val="5"/>
            <w:tcBorders>
              <w:bottom w:val="single" w:sz="4" w:space="0" w:color="auto"/>
            </w:tcBorders>
          </w:tcPr>
          <w:p w14:paraId="49BFF2C0" w14:textId="77777777" w:rsidR="00835C45" w:rsidRPr="0056612C" w:rsidRDefault="00835C45" w:rsidP="005C2571">
            <w:pPr>
              <w:pStyle w:val="NormalWeb"/>
              <w:jc w:val="both"/>
              <w:rPr>
                <w:bCs/>
                <w:sz w:val="18"/>
                <w:szCs w:val="18"/>
                <w:lang w:val="en-US"/>
              </w:rPr>
            </w:pPr>
            <w:r w:rsidRPr="0056612C">
              <w:rPr>
                <w:bCs/>
                <w:sz w:val="18"/>
                <w:szCs w:val="18"/>
                <w:lang w:val="en-US"/>
              </w:rPr>
              <w:lastRenderedPageBreak/>
              <w:t xml:space="preserve">Table 1: Descriptive statistics of anthropometric and neuromuscular characteristics (mean ± SD) according to age category at the start of the season, and mean ± SD weekly </w:t>
            </w:r>
            <w:r>
              <w:rPr>
                <w:bCs/>
                <w:sz w:val="18"/>
                <w:szCs w:val="18"/>
                <w:lang w:val="en-US"/>
              </w:rPr>
              <w:t>differential-</w:t>
            </w:r>
            <w:r w:rsidRPr="0056612C">
              <w:rPr>
                <w:bCs/>
                <w:sz w:val="18"/>
                <w:szCs w:val="18"/>
                <w:lang w:val="en-US"/>
              </w:rPr>
              <w:t xml:space="preserve">RPE </w:t>
            </w:r>
            <w:r>
              <w:rPr>
                <w:bCs/>
                <w:sz w:val="18"/>
                <w:szCs w:val="18"/>
                <w:lang w:val="en-US"/>
              </w:rPr>
              <w:t xml:space="preserve">(AU) </w:t>
            </w:r>
            <w:r w:rsidRPr="0056612C">
              <w:rPr>
                <w:bCs/>
                <w:sz w:val="18"/>
                <w:szCs w:val="18"/>
                <w:lang w:val="en-US"/>
              </w:rPr>
              <w:t>values over the season</w:t>
            </w:r>
          </w:p>
        </w:tc>
      </w:tr>
      <w:tr w:rsidR="00835C45" w:rsidRPr="0056612C" w14:paraId="78CD4A38" w14:textId="77777777" w:rsidTr="005C2571">
        <w:trPr>
          <w:trHeight w:hRule="exact" w:val="499"/>
          <w:jc w:val="center"/>
        </w:trPr>
        <w:tc>
          <w:tcPr>
            <w:tcW w:w="1660" w:type="dxa"/>
            <w:tcBorders>
              <w:top w:val="single" w:sz="4" w:space="0" w:color="auto"/>
              <w:bottom w:val="single" w:sz="4" w:space="0" w:color="auto"/>
            </w:tcBorders>
          </w:tcPr>
          <w:p w14:paraId="5177C052" w14:textId="77777777" w:rsidR="00835C45" w:rsidRPr="0056612C" w:rsidRDefault="00835C45" w:rsidP="005C2571">
            <w:pPr>
              <w:pStyle w:val="NormalWeb"/>
              <w:jc w:val="both"/>
              <w:rPr>
                <w:sz w:val="18"/>
                <w:szCs w:val="18"/>
                <w:lang w:val="en-US"/>
              </w:rPr>
            </w:pPr>
          </w:p>
        </w:tc>
        <w:tc>
          <w:tcPr>
            <w:tcW w:w="1180" w:type="dxa"/>
            <w:tcBorders>
              <w:top w:val="single" w:sz="4" w:space="0" w:color="auto"/>
              <w:bottom w:val="single" w:sz="4" w:space="0" w:color="auto"/>
            </w:tcBorders>
          </w:tcPr>
          <w:p w14:paraId="7A19EEDD" w14:textId="77777777" w:rsidR="00835C45" w:rsidRPr="0056612C" w:rsidRDefault="00835C45" w:rsidP="005C2571">
            <w:pPr>
              <w:jc w:val="center"/>
              <w:rPr>
                <w:rFonts w:ascii="Times New Roman" w:hAnsi="Times New Roman" w:cs="Times New Roman"/>
                <w:sz w:val="18"/>
                <w:szCs w:val="18"/>
              </w:rPr>
            </w:pPr>
            <w:r w:rsidRPr="0056612C">
              <w:rPr>
                <w:rFonts w:ascii="Times New Roman" w:hAnsi="Times New Roman" w:cs="Times New Roman"/>
                <w:sz w:val="18"/>
                <w:szCs w:val="18"/>
              </w:rPr>
              <w:t>U13</w:t>
            </w:r>
          </w:p>
          <w:p w14:paraId="4FED95C3" w14:textId="77777777" w:rsidR="00835C45" w:rsidRPr="0056612C" w:rsidRDefault="00835C45" w:rsidP="005C2571">
            <w:pPr>
              <w:jc w:val="center"/>
              <w:rPr>
                <w:rFonts w:ascii="Times New Roman" w:hAnsi="Times New Roman" w:cs="Times New Roman"/>
                <w:sz w:val="18"/>
                <w:szCs w:val="18"/>
              </w:rPr>
            </w:pPr>
            <w:r w:rsidRPr="0056612C">
              <w:rPr>
                <w:rFonts w:ascii="Times New Roman" w:hAnsi="Times New Roman" w:cs="Times New Roman"/>
                <w:sz w:val="18"/>
                <w:szCs w:val="18"/>
              </w:rPr>
              <w:t>(n = 12)</w:t>
            </w:r>
          </w:p>
        </w:tc>
        <w:tc>
          <w:tcPr>
            <w:tcW w:w="1276" w:type="dxa"/>
            <w:tcBorders>
              <w:top w:val="single" w:sz="4" w:space="0" w:color="auto"/>
              <w:bottom w:val="single" w:sz="4" w:space="0" w:color="auto"/>
            </w:tcBorders>
          </w:tcPr>
          <w:p w14:paraId="68972EE2" w14:textId="77777777" w:rsidR="00835C45" w:rsidRPr="0056612C" w:rsidRDefault="00835C45" w:rsidP="005C2571">
            <w:pPr>
              <w:jc w:val="center"/>
              <w:rPr>
                <w:rFonts w:ascii="Times New Roman" w:hAnsi="Times New Roman" w:cs="Times New Roman"/>
                <w:sz w:val="18"/>
                <w:szCs w:val="18"/>
              </w:rPr>
            </w:pPr>
            <w:r w:rsidRPr="0056612C">
              <w:rPr>
                <w:rFonts w:ascii="Times New Roman" w:hAnsi="Times New Roman" w:cs="Times New Roman"/>
                <w:sz w:val="18"/>
                <w:szCs w:val="18"/>
              </w:rPr>
              <w:t>U14</w:t>
            </w:r>
          </w:p>
          <w:p w14:paraId="0AEE742A" w14:textId="77777777" w:rsidR="00835C45" w:rsidRPr="0056612C" w:rsidRDefault="00835C45" w:rsidP="005C2571">
            <w:pPr>
              <w:jc w:val="center"/>
              <w:rPr>
                <w:rFonts w:ascii="Times New Roman" w:hAnsi="Times New Roman" w:cs="Times New Roman"/>
                <w:sz w:val="18"/>
                <w:szCs w:val="18"/>
              </w:rPr>
            </w:pPr>
            <w:r w:rsidRPr="0056612C">
              <w:rPr>
                <w:rFonts w:ascii="Times New Roman" w:hAnsi="Times New Roman" w:cs="Times New Roman"/>
                <w:sz w:val="18"/>
                <w:szCs w:val="18"/>
              </w:rPr>
              <w:t>(n = 9)</w:t>
            </w:r>
          </w:p>
        </w:tc>
        <w:tc>
          <w:tcPr>
            <w:tcW w:w="1275" w:type="dxa"/>
            <w:tcBorders>
              <w:top w:val="single" w:sz="4" w:space="0" w:color="auto"/>
              <w:bottom w:val="single" w:sz="4" w:space="0" w:color="auto"/>
            </w:tcBorders>
          </w:tcPr>
          <w:p w14:paraId="78EB1D7C" w14:textId="77777777" w:rsidR="00835C45" w:rsidRPr="0056612C" w:rsidRDefault="00835C45" w:rsidP="005C2571">
            <w:pPr>
              <w:jc w:val="center"/>
              <w:rPr>
                <w:rFonts w:ascii="Times New Roman" w:hAnsi="Times New Roman" w:cs="Times New Roman"/>
                <w:sz w:val="18"/>
                <w:szCs w:val="18"/>
              </w:rPr>
            </w:pPr>
            <w:r w:rsidRPr="0056612C">
              <w:rPr>
                <w:rFonts w:ascii="Times New Roman" w:hAnsi="Times New Roman" w:cs="Times New Roman"/>
                <w:sz w:val="18"/>
                <w:szCs w:val="18"/>
              </w:rPr>
              <w:t>U15</w:t>
            </w:r>
          </w:p>
          <w:p w14:paraId="6ED72105" w14:textId="77777777" w:rsidR="00835C45" w:rsidRPr="0056612C" w:rsidRDefault="00835C45" w:rsidP="005C2571">
            <w:pPr>
              <w:jc w:val="center"/>
              <w:rPr>
                <w:rFonts w:ascii="Times New Roman" w:hAnsi="Times New Roman" w:cs="Times New Roman"/>
                <w:sz w:val="18"/>
                <w:szCs w:val="18"/>
              </w:rPr>
            </w:pPr>
            <w:r w:rsidRPr="0056612C">
              <w:rPr>
                <w:rFonts w:ascii="Times New Roman" w:hAnsi="Times New Roman" w:cs="Times New Roman"/>
                <w:sz w:val="18"/>
                <w:szCs w:val="18"/>
              </w:rPr>
              <w:t>(n = 9)</w:t>
            </w:r>
          </w:p>
        </w:tc>
        <w:tc>
          <w:tcPr>
            <w:tcW w:w="1418" w:type="dxa"/>
            <w:tcBorders>
              <w:top w:val="single" w:sz="4" w:space="0" w:color="auto"/>
              <w:bottom w:val="single" w:sz="4" w:space="0" w:color="auto"/>
            </w:tcBorders>
          </w:tcPr>
          <w:p w14:paraId="4E1AAA23" w14:textId="77777777" w:rsidR="00835C45" w:rsidRPr="0056612C" w:rsidRDefault="00835C45" w:rsidP="005C2571">
            <w:pPr>
              <w:jc w:val="center"/>
              <w:rPr>
                <w:rFonts w:ascii="Times New Roman" w:hAnsi="Times New Roman" w:cs="Times New Roman"/>
                <w:sz w:val="18"/>
                <w:szCs w:val="18"/>
              </w:rPr>
            </w:pPr>
            <w:r w:rsidRPr="0056612C">
              <w:rPr>
                <w:rFonts w:ascii="Times New Roman" w:hAnsi="Times New Roman" w:cs="Times New Roman"/>
                <w:sz w:val="18"/>
                <w:szCs w:val="18"/>
              </w:rPr>
              <w:t>U16</w:t>
            </w:r>
          </w:p>
          <w:p w14:paraId="6FFDDB27" w14:textId="77777777" w:rsidR="00835C45" w:rsidRPr="0056612C" w:rsidRDefault="00835C45" w:rsidP="005C2571">
            <w:pPr>
              <w:pStyle w:val="NormalWeb"/>
              <w:spacing w:before="0" w:beforeAutospacing="0" w:after="0" w:afterAutospacing="0"/>
              <w:jc w:val="center"/>
              <w:rPr>
                <w:sz w:val="18"/>
                <w:szCs w:val="18"/>
                <w:lang w:val="en-US"/>
              </w:rPr>
            </w:pPr>
            <w:r w:rsidRPr="0056612C">
              <w:rPr>
                <w:sz w:val="18"/>
                <w:szCs w:val="18"/>
              </w:rPr>
              <w:t>(n = 7)</w:t>
            </w:r>
          </w:p>
        </w:tc>
      </w:tr>
      <w:tr w:rsidR="00835C45" w:rsidRPr="0056612C" w14:paraId="586C01D3" w14:textId="77777777" w:rsidTr="005C2571">
        <w:trPr>
          <w:trHeight w:hRule="exact" w:val="284"/>
          <w:jc w:val="center"/>
        </w:trPr>
        <w:tc>
          <w:tcPr>
            <w:tcW w:w="1660" w:type="dxa"/>
            <w:tcBorders>
              <w:top w:val="single" w:sz="4" w:space="0" w:color="auto"/>
            </w:tcBorders>
          </w:tcPr>
          <w:p w14:paraId="76A54BA3" w14:textId="77777777" w:rsidR="00835C45" w:rsidRPr="0056612C" w:rsidRDefault="00835C45" w:rsidP="005C2571">
            <w:pPr>
              <w:pStyle w:val="NormalWeb"/>
              <w:spacing w:before="0" w:beforeAutospacing="0" w:after="0" w:afterAutospacing="0"/>
              <w:jc w:val="both"/>
              <w:rPr>
                <w:sz w:val="18"/>
                <w:szCs w:val="18"/>
                <w:lang w:val="en-US"/>
              </w:rPr>
            </w:pPr>
            <w:r w:rsidRPr="0056612C">
              <w:rPr>
                <w:sz w:val="18"/>
                <w:szCs w:val="18"/>
                <w:lang w:val="en-US"/>
              </w:rPr>
              <w:t>Age (y)</w:t>
            </w:r>
          </w:p>
        </w:tc>
        <w:tc>
          <w:tcPr>
            <w:tcW w:w="1180" w:type="dxa"/>
            <w:tcBorders>
              <w:top w:val="single" w:sz="4" w:space="0" w:color="auto"/>
            </w:tcBorders>
          </w:tcPr>
          <w:p w14:paraId="3E53B1D0" w14:textId="77777777" w:rsidR="00835C45" w:rsidRPr="0056612C" w:rsidRDefault="00835C45" w:rsidP="005C2571">
            <w:pPr>
              <w:pStyle w:val="NormalWeb"/>
              <w:jc w:val="center"/>
              <w:rPr>
                <w:sz w:val="18"/>
                <w:szCs w:val="18"/>
                <w:lang w:val="en-US"/>
              </w:rPr>
            </w:pPr>
            <w:r w:rsidRPr="0056612C">
              <w:rPr>
                <w:sz w:val="18"/>
                <w:szCs w:val="18"/>
                <w:lang w:val="en-US"/>
              </w:rPr>
              <w:t>12.6 ± 0.3</w:t>
            </w:r>
          </w:p>
        </w:tc>
        <w:tc>
          <w:tcPr>
            <w:tcW w:w="1276" w:type="dxa"/>
            <w:tcBorders>
              <w:top w:val="single" w:sz="4" w:space="0" w:color="auto"/>
            </w:tcBorders>
          </w:tcPr>
          <w:p w14:paraId="2BD94D4F" w14:textId="77777777" w:rsidR="00835C45" w:rsidRPr="0056612C" w:rsidRDefault="00835C45" w:rsidP="005C2571">
            <w:pPr>
              <w:pStyle w:val="NormalWeb"/>
              <w:jc w:val="center"/>
              <w:rPr>
                <w:sz w:val="18"/>
                <w:szCs w:val="18"/>
                <w:lang w:val="en-US"/>
              </w:rPr>
            </w:pPr>
            <w:r w:rsidRPr="0056612C">
              <w:rPr>
                <w:sz w:val="18"/>
                <w:szCs w:val="18"/>
                <w:lang w:val="en-US"/>
              </w:rPr>
              <w:t>13.5 ± 0.6</w:t>
            </w:r>
          </w:p>
        </w:tc>
        <w:tc>
          <w:tcPr>
            <w:tcW w:w="1275" w:type="dxa"/>
            <w:tcBorders>
              <w:top w:val="single" w:sz="4" w:space="0" w:color="auto"/>
            </w:tcBorders>
          </w:tcPr>
          <w:p w14:paraId="4A7793E2" w14:textId="77777777" w:rsidR="00835C45" w:rsidRPr="0056612C" w:rsidRDefault="00835C45" w:rsidP="005C2571">
            <w:pPr>
              <w:pStyle w:val="NormalWeb"/>
              <w:jc w:val="center"/>
              <w:rPr>
                <w:sz w:val="18"/>
                <w:szCs w:val="18"/>
                <w:lang w:val="en-US"/>
              </w:rPr>
            </w:pPr>
            <w:r w:rsidRPr="0056612C">
              <w:rPr>
                <w:sz w:val="18"/>
                <w:szCs w:val="18"/>
                <w:lang w:val="en-US"/>
              </w:rPr>
              <w:t>14.8 ± 0.1</w:t>
            </w:r>
          </w:p>
        </w:tc>
        <w:tc>
          <w:tcPr>
            <w:tcW w:w="1418" w:type="dxa"/>
            <w:tcBorders>
              <w:top w:val="single" w:sz="4" w:space="0" w:color="auto"/>
            </w:tcBorders>
          </w:tcPr>
          <w:p w14:paraId="68712A2D" w14:textId="77777777" w:rsidR="00835C45" w:rsidRPr="0056612C" w:rsidRDefault="00835C45" w:rsidP="005C2571">
            <w:pPr>
              <w:pStyle w:val="NormalWeb"/>
              <w:jc w:val="center"/>
              <w:rPr>
                <w:sz w:val="18"/>
                <w:szCs w:val="18"/>
                <w:lang w:val="en-US"/>
              </w:rPr>
            </w:pPr>
            <w:r w:rsidRPr="0056612C">
              <w:rPr>
                <w:sz w:val="18"/>
                <w:szCs w:val="18"/>
                <w:lang w:val="en-US"/>
              </w:rPr>
              <w:t>15.7 ± 0.2</w:t>
            </w:r>
          </w:p>
        </w:tc>
      </w:tr>
      <w:tr w:rsidR="00835C45" w:rsidRPr="0056612C" w14:paraId="4EB9D288" w14:textId="77777777" w:rsidTr="005C2571">
        <w:trPr>
          <w:trHeight w:hRule="exact" w:val="284"/>
          <w:jc w:val="center"/>
        </w:trPr>
        <w:tc>
          <w:tcPr>
            <w:tcW w:w="1660" w:type="dxa"/>
          </w:tcPr>
          <w:p w14:paraId="428ED0B2" w14:textId="77777777" w:rsidR="00835C45" w:rsidRPr="0056612C" w:rsidRDefault="00835C45" w:rsidP="005C2571">
            <w:pPr>
              <w:pStyle w:val="NormalWeb"/>
              <w:spacing w:before="0" w:beforeAutospacing="0" w:after="0" w:afterAutospacing="0"/>
              <w:jc w:val="both"/>
              <w:rPr>
                <w:sz w:val="18"/>
                <w:szCs w:val="18"/>
                <w:lang w:val="en-US"/>
              </w:rPr>
            </w:pPr>
            <w:r w:rsidRPr="0056612C">
              <w:rPr>
                <w:sz w:val="18"/>
                <w:szCs w:val="18"/>
                <w:lang w:val="en-US"/>
              </w:rPr>
              <w:t>Stature (m)</w:t>
            </w:r>
          </w:p>
        </w:tc>
        <w:tc>
          <w:tcPr>
            <w:tcW w:w="1180" w:type="dxa"/>
          </w:tcPr>
          <w:p w14:paraId="7BE91CB8" w14:textId="77777777" w:rsidR="00835C45" w:rsidRPr="0056612C" w:rsidRDefault="00835C45" w:rsidP="005C2571">
            <w:pPr>
              <w:pStyle w:val="NormalWeb"/>
              <w:jc w:val="center"/>
              <w:rPr>
                <w:sz w:val="18"/>
                <w:szCs w:val="18"/>
                <w:lang w:val="en-US"/>
              </w:rPr>
            </w:pPr>
            <w:r w:rsidRPr="0056612C">
              <w:rPr>
                <w:sz w:val="18"/>
                <w:szCs w:val="18"/>
                <w:lang w:val="en-US"/>
              </w:rPr>
              <w:t>160.0 ± 7</w:t>
            </w:r>
          </w:p>
        </w:tc>
        <w:tc>
          <w:tcPr>
            <w:tcW w:w="1276" w:type="dxa"/>
          </w:tcPr>
          <w:p w14:paraId="38FFB9CD" w14:textId="77777777" w:rsidR="00835C45" w:rsidRPr="0056612C" w:rsidRDefault="00835C45" w:rsidP="005C2571">
            <w:pPr>
              <w:pStyle w:val="NormalWeb"/>
              <w:jc w:val="center"/>
              <w:rPr>
                <w:sz w:val="18"/>
                <w:szCs w:val="18"/>
                <w:lang w:val="en-US"/>
              </w:rPr>
            </w:pPr>
            <w:r w:rsidRPr="0056612C">
              <w:rPr>
                <w:sz w:val="18"/>
                <w:szCs w:val="18"/>
                <w:lang w:val="en-US"/>
              </w:rPr>
              <w:t>166.0 ± 7</w:t>
            </w:r>
          </w:p>
        </w:tc>
        <w:tc>
          <w:tcPr>
            <w:tcW w:w="1275" w:type="dxa"/>
          </w:tcPr>
          <w:p w14:paraId="4587CA29" w14:textId="77777777" w:rsidR="00835C45" w:rsidRPr="0056612C" w:rsidRDefault="00835C45" w:rsidP="005C2571">
            <w:pPr>
              <w:pStyle w:val="NormalWeb"/>
              <w:jc w:val="center"/>
              <w:rPr>
                <w:sz w:val="18"/>
                <w:szCs w:val="18"/>
                <w:lang w:val="en-US"/>
              </w:rPr>
            </w:pPr>
            <w:r w:rsidRPr="0056612C">
              <w:rPr>
                <w:sz w:val="18"/>
                <w:szCs w:val="18"/>
                <w:lang w:val="en-US"/>
              </w:rPr>
              <w:t>177.0 ± 5</w:t>
            </w:r>
          </w:p>
        </w:tc>
        <w:tc>
          <w:tcPr>
            <w:tcW w:w="1418" w:type="dxa"/>
          </w:tcPr>
          <w:p w14:paraId="056354D3" w14:textId="77777777" w:rsidR="00835C45" w:rsidRPr="0056612C" w:rsidRDefault="00835C45" w:rsidP="005C2571">
            <w:pPr>
              <w:pStyle w:val="NormalWeb"/>
              <w:jc w:val="center"/>
              <w:rPr>
                <w:sz w:val="18"/>
                <w:szCs w:val="18"/>
                <w:lang w:val="en-US"/>
              </w:rPr>
            </w:pPr>
            <w:r w:rsidRPr="0056612C">
              <w:rPr>
                <w:sz w:val="18"/>
                <w:szCs w:val="18"/>
                <w:lang w:val="en-US"/>
              </w:rPr>
              <w:t>179.0 ± 9</w:t>
            </w:r>
          </w:p>
        </w:tc>
      </w:tr>
      <w:tr w:rsidR="00835C45" w:rsidRPr="0056612C" w14:paraId="513799ED" w14:textId="77777777" w:rsidTr="005C2571">
        <w:trPr>
          <w:trHeight w:hRule="exact" w:val="284"/>
          <w:jc w:val="center"/>
        </w:trPr>
        <w:tc>
          <w:tcPr>
            <w:tcW w:w="1660" w:type="dxa"/>
          </w:tcPr>
          <w:p w14:paraId="49CE87DE" w14:textId="77777777" w:rsidR="00835C45" w:rsidRPr="0056612C" w:rsidRDefault="00835C45" w:rsidP="005C2571">
            <w:pPr>
              <w:pStyle w:val="NormalWeb"/>
              <w:spacing w:before="0" w:beforeAutospacing="0" w:after="0" w:afterAutospacing="0"/>
              <w:jc w:val="both"/>
              <w:rPr>
                <w:sz w:val="18"/>
                <w:szCs w:val="18"/>
                <w:lang w:val="en-US"/>
              </w:rPr>
            </w:pPr>
            <w:r w:rsidRPr="0056612C">
              <w:rPr>
                <w:sz w:val="18"/>
                <w:szCs w:val="18"/>
                <w:lang w:val="en-US"/>
              </w:rPr>
              <w:t>Body mass (kg)</w:t>
            </w:r>
          </w:p>
        </w:tc>
        <w:tc>
          <w:tcPr>
            <w:tcW w:w="1180" w:type="dxa"/>
          </w:tcPr>
          <w:p w14:paraId="133F2F09" w14:textId="77777777" w:rsidR="00835C45" w:rsidRPr="0056612C" w:rsidRDefault="00835C45" w:rsidP="005C2571">
            <w:pPr>
              <w:pStyle w:val="NormalWeb"/>
              <w:jc w:val="center"/>
              <w:rPr>
                <w:sz w:val="18"/>
                <w:szCs w:val="18"/>
                <w:lang w:val="en-US"/>
              </w:rPr>
            </w:pPr>
            <w:r w:rsidRPr="0056612C">
              <w:rPr>
                <w:sz w:val="18"/>
                <w:szCs w:val="18"/>
                <w:lang w:val="en-US"/>
              </w:rPr>
              <w:t>49.9 ± 8</w:t>
            </w:r>
          </w:p>
        </w:tc>
        <w:tc>
          <w:tcPr>
            <w:tcW w:w="1276" w:type="dxa"/>
          </w:tcPr>
          <w:p w14:paraId="79FC2882" w14:textId="77777777" w:rsidR="00835C45" w:rsidRPr="0056612C" w:rsidRDefault="00835C45" w:rsidP="005C2571">
            <w:pPr>
              <w:pStyle w:val="NormalWeb"/>
              <w:jc w:val="center"/>
              <w:rPr>
                <w:sz w:val="18"/>
                <w:szCs w:val="18"/>
                <w:lang w:val="en-US"/>
              </w:rPr>
            </w:pPr>
            <w:r w:rsidRPr="0056612C">
              <w:rPr>
                <w:sz w:val="18"/>
                <w:szCs w:val="18"/>
                <w:lang w:val="en-US"/>
              </w:rPr>
              <w:t>56.5 ± 9</w:t>
            </w:r>
          </w:p>
        </w:tc>
        <w:tc>
          <w:tcPr>
            <w:tcW w:w="1275" w:type="dxa"/>
          </w:tcPr>
          <w:p w14:paraId="59AB04ED" w14:textId="77777777" w:rsidR="00835C45" w:rsidRPr="0056612C" w:rsidRDefault="00835C45" w:rsidP="005C2571">
            <w:pPr>
              <w:pStyle w:val="NormalWeb"/>
              <w:jc w:val="center"/>
              <w:rPr>
                <w:sz w:val="18"/>
                <w:szCs w:val="18"/>
                <w:lang w:val="en-US"/>
              </w:rPr>
            </w:pPr>
            <w:r w:rsidRPr="0056612C">
              <w:rPr>
                <w:sz w:val="18"/>
                <w:szCs w:val="18"/>
                <w:lang w:val="en-US"/>
              </w:rPr>
              <w:t>63.4 ± 4</w:t>
            </w:r>
          </w:p>
        </w:tc>
        <w:tc>
          <w:tcPr>
            <w:tcW w:w="1418" w:type="dxa"/>
          </w:tcPr>
          <w:p w14:paraId="10E8E220" w14:textId="77777777" w:rsidR="00835C45" w:rsidRPr="0056612C" w:rsidRDefault="00835C45" w:rsidP="005C2571">
            <w:pPr>
              <w:pStyle w:val="NormalWeb"/>
              <w:jc w:val="center"/>
              <w:rPr>
                <w:sz w:val="18"/>
                <w:szCs w:val="18"/>
                <w:lang w:val="en-US"/>
              </w:rPr>
            </w:pPr>
            <w:r w:rsidRPr="0056612C">
              <w:rPr>
                <w:sz w:val="18"/>
                <w:szCs w:val="18"/>
                <w:lang w:val="en-US"/>
              </w:rPr>
              <w:t>65.2 ± 9</w:t>
            </w:r>
          </w:p>
        </w:tc>
      </w:tr>
      <w:tr w:rsidR="00835C45" w:rsidRPr="0056612C" w14:paraId="530C5D7C" w14:textId="77777777" w:rsidTr="005C2571">
        <w:trPr>
          <w:trHeight w:hRule="exact" w:val="284"/>
          <w:jc w:val="center"/>
        </w:trPr>
        <w:tc>
          <w:tcPr>
            <w:tcW w:w="1660" w:type="dxa"/>
          </w:tcPr>
          <w:p w14:paraId="5D18EAB1" w14:textId="77777777" w:rsidR="00835C45" w:rsidRPr="0056612C" w:rsidRDefault="00835C45" w:rsidP="005C2571">
            <w:pPr>
              <w:pStyle w:val="NormalWeb"/>
              <w:spacing w:before="0" w:beforeAutospacing="0" w:after="0" w:afterAutospacing="0"/>
              <w:jc w:val="both"/>
              <w:rPr>
                <w:sz w:val="18"/>
                <w:szCs w:val="18"/>
              </w:rPr>
            </w:pPr>
            <w:proofErr w:type="gramStart"/>
            <w:r>
              <w:rPr>
                <w:sz w:val="18"/>
                <w:szCs w:val="18"/>
              </w:rPr>
              <w:t>Status</w:t>
            </w:r>
            <w:proofErr w:type="gramEnd"/>
            <w:r>
              <w:rPr>
                <w:sz w:val="18"/>
                <w:szCs w:val="18"/>
              </w:rPr>
              <w:t xml:space="preserve"> (</w:t>
            </w:r>
            <w:r w:rsidRPr="0056612C">
              <w:rPr>
                <w:sz w:val="18"/>
                <w:szCs w:val="18"/>
              </w:rPr>
              <w:t>PAH</w:t>
            </w:r>
            <w:r>
              <w:rPr>
                <w:sz w:val="18"/>
                <w:szCs w:val="18"/>
              </w:rPr>
              <w:t>%)</w:t>
            </w:r>
          </w:p>
        </w:tc>
        <w:tc>
          <w:tcPr>
            <w:tcW w:w="1180" w:type="dxa"/>
          </w:tcPr>
          <w:p w14:paraId="1FF08116" w14:textId="77777777" w:rsidR="00835C45" w:rsidRPr="0056612C" w:rsidRDefault="00835C45" w:rsidP="005C2571">
            <w:pPr>
              <w:pStyle w:val="NormalWeb"/>
              <w:jc w:val="center"/>
              <w:rPr>
                <w:sz w:val="18"/>
                <w:szCs w:val="18"/>
                <w:lang w:val="en-US"/>
              </w:rPr>
            </w:pPr>
            <w:r w:rsidRPr="0056612C">
              <w:rPr>
                <w:sz w:val="18"/>
                <w:szCs w:val="18"/>
                <w:lang w:val="en-US"/>
              </w:rPr>
              <w:t>88.7 ± 2</w:t>
            </w:r>
          </w:p>
        </w:tc>
        <w:tc>
          <w:tcPr>
            <w:tcW w:w="1276" w:type="dxa"/>
          </w:tcPr>
          <w:p w14:paraId="6894FB56" w14:textId="77777777" w:rsidR="00835C45" w:rsidRPr="0056612C" w:rsidRDefault="00835C45" w:rsidP="005C2571">
            <w:pPr>
              <w:pStyle w:val="NormalWeb"/>
              <w:jc w:val="center"/>
              <w:rPr>
                <w:sz w:val="18"/>
                <w:szCs w:val="18"/>
                <w:lang w:val="en-US"/>
              </w:rPr>
            </w:pPr>
            <w:r w:rsidRPr="0056612C">
              <w:rPr>
                <w:sz w:val="18"/>
                <w:szCs w:val="18"/>
                <w:lang w:val="en-US"/>
              </w:rPr>
              <w:t>92.2 ± 2.7</w:t>
            </w:r>
          </w:p>
        </w:tc>
        <w:tc>
          <w:tcPr>
            <w:tcW w:w="1275" w:type="dxa"/>
          </w:tcPr>
          <w:p w14:paraId="367B03FC" w14:textId="77777777" w:rsidR="00835C45" w:rsidRPr="0056612C" w:rsidRDefault="00835C45" w:rsidP="005C2571">
            <w:pPr>
              <w:pStyle w:val="NormalWeb"/>
              <w:jc w:val="center"/>
              <w:rPr>
                <w:sz w:val="18"/>
                <w:szCs w:val="18"/>
                <w:lang w:val="en-US"/>
              </w:rPr>
            </w:pPr>
            <w:r w:rsidRPr="0056612C">
              <w:rPr>
                <w:sz w:val="18"/>
                <w:szCs w:val="18"/>
                <w:lang w:val="en-US"/>
              </w:rPr>
              <w:t>97.0 ± 1</w:t>
            </w:r>
          </w:p>
        </w:tc>
        <w:tc>
          <w:tcPr>
            <w:tcW w:w="1418" w:type="dxa"/>
          </w:tcPr>
          <w:p w14:paraId="2854AA0C" w14:textId="77777777" w:rsidR="00835C45" w:rsidRPr="0056612C" w:rsidRDefault="00835C45" w:rsidP="005C2571">
            <w:pPr>
              <w:pStyle w:val="NormalWeb"/>
              <w:jc w:val="center"/>
              <w:rPr>
                <w:sz w:val="18"/>
                <w:szCs w:val="18"/>
                <w:lang w:val="en-US"/>
              </w:rPr>
            </w:pPr>
            <w:r w:rsidRPr="0056612C">
              <w:rPr>
                <w:sz w:val="18"/>
                <w:szCs w:val="18"/>
                <w:lang w:val="en-US"/>
              </w:rPr>
              <w:t>98.6 ± 1</w:t>
            </w:r>
          </w:p>
        </w:tc>
      </w:tr>
      <w:tr w:rsidR="00835C45" w:rsidRPr="0056612C" w14:paraId="629A4F23" w14:textId="77777777" w:rsidTr="005C2571">
        <w:trPr>
          <w:trHeight w:hRule="exact" w:val="284"/>
          <w:jc w:val="center"/>
        </w:trPr>
        <w:tc>
          <w:tcPr>
            <w:tcW w:w="1660" w:type="dxa"/>
            <w:tcBorders>
              <w:bottom w:val="dashSmallGap" w:sz="4" w:space="0" w:color="auto"/>
            </w:tcBorders>
          </w:tcPr>
          <w:p w14:paraId="1C6B30B2" w14:textId="77777777" w:rsidR="00835C45" w:rsidRPr="0056612C" w:rsidRDefault="00835C45" w:rsidP="005C2571">
            <w:pPr>
              <w:pStyle w:val="NormalWeb"/>
              <w:spacing w:before="0" w:beforeAutospacing="0" w:after="0" w:afterAutospacing="0"/>
              <w:jc w:val="both"/>
              <w:rPr>
                <w:sz w:val="18"/>
                <w:szCs w:val="18"/>
              </w:rPr>
            </w:pPr>
            <w:r>
              <w:rPr>
                <w:sz w:val="18"/>
                <w:szCs w:val="18"/>
              </w:rPr>
              <w:t>Tempo (cm/</w:t>
            </w:r>
            <w:proofErr w:type="spellStart"/>
            <w:r>
              <w:rPr>
                <w:sz w:val="18"/>
                <w:szCs w:val="18"/>
              </w:rPr>
              <w:t>year</w:t>
            </w:r>
            <w:proofErr w:type="spellEnd"/>
            <w:r>
              <w:rPr>
                <w:sz w:val="18"/>
                <w:szCs w:val="18"/>
              </w:rPr>
              <w:t>)</w:t>
            </w:r>
          </w:p>
        </w:tc>
        <w:tc>
          <w:tcPr>
            <w:tcW w:w="1180" w:type="dxa"/>
            <w:tcBorders>
              <w:bottom w:val="dashSmallGap" w:sz="4" w:space="0" w:color="auto"/>
            </w:tcBorders>
          </w:tcPr>
          <w:p w14:paraId="5737DD8D" w14:textId="77777777" w:rsidR="00835C45" w:rsidRPr="0056612C" w:rsidRDefault="00835C45" w:rsidP="005C2571">
            <w:pPr>
              <w:pStyle w:val="NormalWeb"/>
              <w:jc w:val="center"/>
              <w:rPr>
                <w:sz w:val="18"/>
                <w:szCs w:val="18"/>
                <w:lang w:val="en-US"/>
              </w:rPr>
            </w:pPr>
            <w:r>
              <w:rPr>
                <w:sz w:val="18"/>
                <w:szCs w:val="18"/>
                <w:lang w:val="en-US"/>
              </w:rPr>
              <w:t>12.1 ± 6</w:t>
            </w:r>
          </w:p>
        </w:tc>
        <w:tc>
          <w:tcPr>
            <w:tcW w:w="1276" w:type="dxa"/>
            <w:tcBorders>
              <w:bottom w:val="dashSmallGap" w:sz="4" w:space="0" w:color="auto"/>
            </w:tcBorders>
          </w:tcPr>
          <w:p w14:paraId="153B4F9B" w14:textId="77777777" w:rsidR="00835C45" w:rsidRPr="0056612C" w:rsidRDefault="00835C45" w:rsidP="005C2571">
            <w:pPr>
              <w:pStyle w:val="NormalWeb"/>
              <w:jc w:val="center"/>
              <w:rPr>
                <w:sz w:val="18"/>
                <w:szCs w:val="18"/>
                <w:lang w:val="en-US"/>
              </w:rPr>
            </w:pPr>
            <w:r>
              <w:rPr>
                <w:sz w:val="18"/>
                <w:szCs w:val="18"/>
                <w:lang w:val="en-US"/>
              </w:rPr>
              <w:t>8.7 ± 7</w:t>
            </w:r>
          </w:p>
        </w:tc>
        <w:tc>
          <w:tcPr>
            <w:tcW w:w="1275" w:type="dxa"/>
            <w:tcBorders>
              <w:bottom w:val="dashSmallGap" w:sz="4" w:space="0" w:color="auto"/>
            </w:tcBorders>
          </w:tcPr>
          <w:p w14:paraId="1F699792" w14:textId="77777777" w:rsidR="00835C45" w:rsidRPr="0056612C" w:rsidRDefault="00835C45" w:rsidP="005C2571">
            <w:pPr>
              <w:pStyle w:val="NormalWeb"/>
              <w:jc w:val="center"/>
              <w:rPr>
                <w:sz w:val="18"/>
                <w:szCs w:val="18"/>
                <w:lang w:val="en-US"/>
              </w:rPr>
            </w:pPr>
            <w:r>
              <w:rPr>
                <w:sz w:val="18"/>
                <w:szCs w:val="18"/>
                <w:lang w:val="en-US"/>
              </w:rPr>
              <w:t>7.4 ± 10</w:t>
            </w:r>
          </w:p>
        </w:tc>
        <w:tc>
          <w:tcPr>
            <w:tcW w:w="1418" w:type="dxa"/>
            <w:tcBorders>
              <w:bottom w:val="dashSmallGap" w:sz="4" w:space="0" w:color="auto"/>
            </w:tcBorders>
          </w:tcPr>
          <w:p w14:paraId="30E8809A" w14:textId="77777777" w:rsidR="00835C45" w:rsidRPr="0056612C" w:rsidRDefault="00835C45" w:rsidP="005C2571">
            <w:pPr>
              <w:pStyle w:val="NormalWeb"/>
              <w:jc w:val="center"/>
              <w:rPr>
                <w:sz w:val="18"/>
                <w:szCs w:val="18"/>
                <w:lang w:val="en-US"/>
              </w:rPr>
            </w:pPr>
            <w:r>
              <w:rPr>
                <w:sz w:val="18"/>
                <w:szCs w:val="18"/>
                <w:lang w:val="en-US"/>
              </w:rPr>
              <w:t>7.1 ± 4</w:t>
            </w:r>
          </w:p>
        </w:tc>
      </w:tr>
      <w:tr w:rsidR="00835C45" w:rsidRPr="0056612C" w14:paraId="45A77B98" w14:textId="77777777" w:rsidTr="005C2571">
        <w:trPr>
          <w:trHeight w:hRule="exact" w:val="284"/>
          <w:jc w:val="center"/>
        </w:trPr>
        <w:tc>
          <w:tcPr>
            <w:tcW w:w="1660" w:type="dxa"/>
            <w:tcBorders>
              <w:top w:val="dashSmallGap" w:sz="4" w:space="0" w:color="auto"/>
            </w:tcBorders>
          </w:tcPr>
          <w:p w14:paraId="54DADE96" w14:textId="77777777" w:rsidR="00835C45" w:rsidRPr="0056612C" w:rsidRDefault="00835C45" w:rsidP="005C2571">
            <w:pPr>
              <w:pStyle w:val="NormalWeb"/>
              <w:spacing w:before="0" w:beforeAutospacing="0" w:after="0" w:afterAutospacing="0"/>
              <w:jc w:val="both"/>
              <w:rPr>
                <w:sz w:val="18"/>
                <w:szCs w:val="18"/>
              </w:rPr>
            </w:pPr>
            <w:r w:rsidRPr="0056612C">
              <w:rPr>
                <w:sz w:val="18"/>
                <w:szCs w:val="18"/>
              </w:rPr>
              <w:t>sRPE</w:t>
            </w:r>
          </w:p>
        </w:tc>
        <w:tc>
          <w:tcPr>
            <w:tcW w:w="1180" w:type="dxa"/>
            <w:tcBorders>
              <w:top w:val="dashSmallGap" w:sz="4" w:space="0" w:color="auto"/>
            </w:tcBorders>
          </w:tcPr>
          <w:p w14:paraId="6B99F768" w14:textId="77777777" w:rsidR="00835C45" w:rsidRPr="0056612C" w:rsidRDefault="00835C45" w:rsidP="005C2571">
            <w:pPr>
              <w:pStyle w:val="NormalWeb"/>
              <w:jc w:val="center"/>
              <w:rPr>
                <w:sz w:val="18"/>
                <w:szCs w:val="18"/>
                <w:lang w:val="en-US"/>
              </w:rPr>
            </w:pPr>
            <w:r w:rsidRPr="0056612C">
              <w:rPr>
                <w:sz w:val="18"/>
                <w:szCs w:val="18"/>
                <w:lang w:val="en-US"/>
              </w:rPr>
              <w:t>52.1 ± 15</w:t>
            </w:r>
          </w:p>
        </w:tc>
        <w:tc>
          <w:tcPr>
            <w:tcW w:w="1276" w:type="dxa"/>
            <w:tcBorders>
              <w:top w:val="dashSmallGap" w:sz="4" w:space="0" w:color="auto"/>
            </w:tcBorders>
          </w:tcPr>
          <w:p w14:paraId="0CB54599" w14:textId="77777777" w:rsidR="00835C45" w:rsidRPr="0056612C" w:rsidRDefault="00835C45" w:rsidP="005C2571">
            <w:pPr>
              <w:pStyle w:val="NormalWeb"/>
              <w:jc w:val="center"/>
              <w:rPr>
                <w:sz w:val="18"/>
                <w:szCs w:val="18"/>
                <w:lang w:val="en-US"/>
              </w:rPr>
            </w:pPr>
            <w:r w:rsidRPr="0056612C">
              <w:rPr>
                <w:sz w:val="18"/>
                <w:szCs w:val="18"/>
                <w:lang w:val="en-US"/>
              </w:rPr>
              <w:t>50.8 ± 14</w:t>
            </w:r>
          </w:p>
        </w:tc>
        <w:tc>
          <w:tcPr>
            <w:tcW w:w="1275" w:type="dxa"/>
            <w:tcBorders>
              <w:top w:val="dashSmallGap" w:sz="4" w:space="0" w:color="auto"/>
            </w:tcBorders>
          </w:tcPr>
          <w:p w14:paraId="213BB8F4" w14:textId="77777777" w:rsidR="00835C45" w:rsidRPr="0056612C" w:rsidRDefault="00835C45" w:rsidP="005C2571">
            <w:pPr>
              <w:pStyle w:val="NormalWeb"/>
              <w:jc w:val="center"/>
              <w:rPr>
                <w:sz w:val="18"/>
                <w:szCs w:val="18"/>
                <w:lang w:val="en-US"/>
              </w:rPr>
            </w:pPr>
            <w:r w:rsidRPr="0056612C">
              <w:rPr>
                <w:sz w:val="18"/>
                <w:szCs w:val="18"/>
                <w:lang w:val="en-US"/>
              </w:rPr>
              <w:t>45.9 ± 12</w:t>
            </w:r>
          </w:p>
        </w:tc>
        <w:tc>
          <w:tcPr>
            <w:tcW w:w="1418" w:type="dxa"/>
            <w:tcBorders>
              <w:top w:val="dashSmallGap" w:sz="4" w:space="0" w:color="auto"/>
            </w:tcBorders>
          </w:tcPr>
          <w:p w14:paraId="0B332F3A" w14:textId="77777777" w:rsidR="00835C45" w:rsidRPr="0056612C" w:rsidRDefault="00835C45" w:rsidP="005C2571">
            <w:pPr>
              <w:pStyle w:val="NormalWeb"/>
              <w:jc w:val="center"/>
              <w:rPr>
                <w:sz w:val="18"/>
                <w:szCs w:val="18"/>
                <w:lang w:val="en-US"/>
              </w:rPr>
            </w:pPr>
            <w:r w:rsidRPr="0056612C">
              <w:rPr>
                <w:sz w:val="18"/>
                <w:szCs w:val="18"/>
                <w:lang w:val="en-US"/>
              </w:rPr>
              <w:t>43.2 ± 12</w:t>
            </w:r>
          </w:p>
        </w:tc>
      </w:tr>
      <w:tr w:rsidR="00835C45" w:rsidRPr="0056612C" w14:paraId="2C6BFD42" w14:textId="77777777" w:rsidTr="005C2571">
        <w:trPr>
          <w:trHeight w:hRule="exact" w:val="284"/>
          <w:jc w:val="center"/>
        </w:trPr>
        <w:tc>
          <w:tcPr>
            <w:tcW w:w="1660" w:type="dxa"/>
          </w:tcPr>
          <w:p w14:paraId="453D408C" w14:textId="77777777" w:rsidR="00835C45" w:rsidRPr="0056612C" w:rsidRDefault="00835C45" w:rsidP="005C2571">
            <w:pPr>
              <w:pStyle w:val="NormalWeb"/>
              <w:spacing w:before="0" w:beforeAutospacing="0" w:after="0" w:afterAutospacing="0"/>
              <w:jc w:val="both"/>
              <w:rPr>
                <w:sz w:val="18"/>
                <w:szCs w:val="18"/>
              </w:rPr>
            </w:pPr>
            <w:r w:rsidRPr="0056612C">
              <w:rPr>
                <w:sz w:val="18"/>
                <w:szCs w:val="18"/>
              </w:rPr>
              <w:t>RPE-B</w:t>
            </w:r>
          </w:p>
        </w:tc>
        <w:tc>
          <w:tcPr>
            <w:tcW w:w="1180" w:type="dxa"/>
          </w:tcPr>
          <w:p w14:paraId="59E21BE4" w14:textId="77777777" w:rsidR="00835C45" w:rsidRPr="0056612C" w:rsidRDefault="00835C45" w:rsidP="005C2571">
            <w:pPr>
              <w:pStyle w:val="NormalWeb"/>
              <w:jc w:val="center"/>
              <w:rPr>
                <w:sz w:val="18"/>
                <w:szCs w:val="18"/>
                <w:lang w:val="en-US"/>
              </w:rPr>
            </w:pPr>
            <w:r w:rsidRPr="0056612C">
              <w:rPr>
                <w:sz w:val="18"/>
                <w:szCs w:val="18"/>
                <w:lang w:val="en-US"/>
              </w:rPr>
              <w:t>48.0 ± 13</w:t>
            </w:r>
          </w:p>
        </w:tc>
        <w:tc>
          <w:tcPr>
            <w:tcW w:w="1276" w:type="dxa"/>
          </w:tcPr>
          <w:p w14:paraId="5254DC48" w14:textId="77777777" w:rsidR="00835C45" w:rsidRPr="0056612C" w:rsidRDefault="00835C45" w:rsidP="005C2571">
            <w:pPr>
              <w:pStyle w:val="NormalWeb"/>
              <w:jc w:val="center"/>
              <w:rPr>
                <w:sz w:val="18"/>
                <w:szCs w:val="18"/>
                <w:lang w:val="en-US"/>
              </w:rPr>
            </w:pPr>
            <w:r w:rsidRPr="0056612C">
              <w:rPr>
                <w:sz w:val="18"/>
                <w:szCs w:val="18"/>
                <w:lang w:val="en-US"/>
              </w:rPr>
              <w:t>50.5 ± 14</w:t>
            </w:r>
          </w:p>
        </w:tc>
        <w:tc>
          <w:tcPr>
            <w:tcW w:w="1275" w:type="dxa"/>
          </w:tcPr>
          <w:p w14:paraId="1C93A9EC" w14:textId="77777777" w:rsidR="00835C45" w:rsidRPr="0056612C" w:rsidRDefault="00835C45" w:rsidP="005C2571">
            <w:pPr>
              <w:pStyle w:val="NormalWeb"/>
              <w:jc w:val="center"/>
              <w:rPr>
                <w:sz w:val="18"/>
                <w:szCs w:val="18"/>
                <w:lang w:val="en-US"/>
              </w:rPr>
            </w:pPr>
            <w:r w:rsidRPr="0056612C">
              <w:rPr>
                <w:sz w:val="18"/>
                <w:szCs w:val="18"/>
                <w:lang w:val="en-US"/>
              </w:rPr>
              <w:t>48.0 ± 12</w:t>
            </w:r>
          </w:p>
        </w:tc>
        <w:tc>
          <w:tcPr>
            <w:tcW w:w="1418" w:type="dxa"/>
          </w:tcPr>
          <w:p w14:paraId="67EA8E8F" w14:textId="77777777" w:rsidR="00835C45" w:rsidRPr="0056612C" w:rsidRDefault="00835C45" w:rsidP="005C2571">
            <w:pPr>
              <w:pStyle w:val="NormalWeb"/>
              <w:jc w:val="center"/>
              <w:rPr>
                <w:sz w:val="18"/>
                <w:szCs w:val="18"/>
                <w:lang w:val="en-US"/>
              </w:rPr>
            </w:pPr>
            <w:r w:rsidRPr="0056612C">
              <w:rPr>
                <w:sz w:val="18"/>
                <w:szCs w:val="18"/>
                <w:lang w:val="en-US"/>
              </w:rPr>
              <w:t>45.5 ± 12</w:t>
            </w:r>
          </w:p>
        </w:tc>
      </w:tr>
      <w:tr w:rsidR="00835C45" w:rsidRPr="0056612C" w14:paraId="468D11D8" w14:textId="77777777" w:rsidTr="005C2571">
        <w:trPr>
          <w:trHeight w:hRule="exact" w:val="284"/>
          <w:jc w:val="center"/>
        </w:trPr>
        <w:tc>
          <w:tcPr>
            <w:tcW w:w="1660" w:type="dxa"/>
          </w:tcPr>
          <w:p w14:paraId="45DFA9BD" w14:textId="77777777" w:rsidR="00835C45" w:rsidRPr="0056612C" w:rsidRDefault="00835C45" w:rsidP="005C2571">
            <w:pPr>
              <w:pStyle w:val="NormalWeb"/>
              <w:spacing w:before="0" w:beforeAutospacing="0" w:after="0" w:afterAutospacing="0"/>
              <w:jc w:val="both"/>
              <w:rPr>
                <w:sz w:val="18"/>
                <w:szCs w:val="18"/>
              </w:rPr>
            </w:pPr>
            <w:r w:rsidRPr="0056612C">
              <w:rPr>
                <w:sz w:val="18"/>
                <w:szCs w:val="18"/>
              </w:rPr>
              <w:t>RPE-L</w:t>
            </w:r>
          </w:p>
        </w:tc>
        <w:tc>
          <w:tcPr>
            <w:tcW w:w="1180" w:type="dxa"/>
          </w:tcPr>
          <w:p w14:paraId="307F8C8E" w14:textId="77777777" w:rsidR="00835C45" w:rsidRPr="0056612C" w:rsidRDefault="00835C45" w:rsidP="005C2571">
            <w:pPr>
              <w:pStyle w:val="NormalWeb"/>
              <w:jc w:val="center"/>
              <w:rPr>
                <w:sz w:val="18"/>
                <w:szCs w:val="18"/>
                <w:lang w:val="en-US"/>
              </w:rPr>
            </w:pPr>
            <w:r w:rsidRPr="0056612C">
              <w:rPr>
                <w:sz w:val="18"/>
                <w:szCs w:val="18"/>
                <w:lang w:val="en-US"/>
              </w:rPr>
              <w:t>51.3 ± 15</w:t>
            </w:r>
          </w:p>
        </w:tc>
        <w:tc>
          <w:tcPr>
            <w:tcW w:w="1276" w:type="dxa"/>
          </w:tcPr>
          <w:p w14:paraId="283FF5B6" w14:textId="77777777" w:rsidR="00835C45" w:rsidRPr="0056612C" w:rsidRDefault="00835C45" w:rsidP="005C2571">
            <w:pPr>
              <w:pStyle w:val="NormalWeb"/>
              <w:jc w:val="center"/>
              <w:rPr>
                <w:sz w:val="18"/>
                <w:szCs w:val="18"/>
                <w:lang w:val="en-US"/>
              </w:rPr>
            </w:pPr>
            <w:r w:rsidRPr="0056612C">
              <w:rPr>
                <w:sz w:val="18"/>
                <w:szCs w:val="18"/>
                <w:lang w:val="en-US"/>
              </w:rPr>
              <w:t>52.8 ± 15</w:t>
            </w:r>
          </w:p>
        </w:tc>
        <w:tc>
          <w:tcPr>
            <w:tcW w:w="1275" w:type="dxa"/>
          </w:tcPr>
          <w:p w14:paraId="38C1FD97" w14:textId="77777777" w:rsidR="00835C45" w:rsidRPr="0056612C" w:rsidRDefault="00835C45" w:rsidP="005C2571">
            <w:pPr>
              <w:pStyle w:val="NormalWeb"/>
              <w:jc w:val="center"/>
              <w:rPr>
                <w:sz w:val="18"/>
                <w:szCs w:val="18"/>
                <w:lang w:val="en-US"/>
              </w:rPr>
            </w:pPr>
            <w:r w:rsidRPr="0056612C">
              <w:rPr>
                <w:sz w:val="18"/>
                <w:szCs w:val="18"/>
                <w:lang w:val="en-US"/>
              </w:rPr>
              <w:t>46.2 ± 10</w:t>
            </w:r>
          </w:p>
        </w:tc>
        <w:tc>
          <w:tcPr>
            <w:tcW w:w="1418" w:type="dxa"/>
          </w:tcPr>
          <w:p w14:paraId="052A65B9" w14:textId="77777777" w:rsidR="00835C45" w:rsidRPr="0056612C" w:rsidRDefault="00835C45" w:rsidP="005C2571">
            <w:pPr>
              <w:pStyle w:val="NormalWeb"/>
              <w:jc w:val="center"/>
              <w:rPr>
                <w:sz w:val="18"/>
                <w:szCs w:val="18"/>
                <w:lang w:val="en-US"/>
              </w:rPr>
            </w:pPr>
            <w:r w:rsidRPr="0056612C">
              <w:rPr>
                <w:sz w:val="18"/>
                <w:szCs w:val="18"/>
                <w:lang w:val="en-US"/>
              </w:rPr>
              <w:t>46.4 ±12</w:t>
            </w:r>
          </w:p>
        </w:tc>
      </w:tr>
      <w:tr w:rsidR="00835C45" w:rsidRPr="0056612C" w14:paraId="20D585EF" w14:textId="77777777" w:rsidTr="005C2571">
        <w:trPr>
          <w:trHeight w:hRule="exact" w:val="284"/>
          <w:jc w:val="center"/>
        </w:trPr>
        <w:tc>
          <w:tcPr>
            <w:tcW w:w="1660" w:type="dxa"/>
            <w:tcBorders>
              <w:bottom w:val="dashSmallGap" w:sz="4" w:space="0" w:color="auto"/>
            </w:tcBorders>
          </w:tcPr>
          <w:p w14:paraId="2CF268AE" w14:textId="77777777" w:rsidR="00835C45" w:rsidRPr="0056612C" w:rsidRDefault="00835C45" w:rsidP="005C2571">
            <w:pPr>
              <w:pStyle w:val="NormalWeb"/>
              <w:spacing w:before="0" w:beforeAutospacing="0" w:after="0" w:afterAutospacing="0"/>
              <w:jc w:val="both"/>
              <w:rPr>
                <w:sz w:val="18"/>
                <w:szCs w:val="18"/>
              </w:rPr>
            </w:pPr>
            <w:r w:rsidRPr="0056612C">
              <w:rPr>
                <w:sz w:val="18"/>
                <w:szCs w:val="18"/>
              </w:rPr>
              <w:t>RPE-T</w:t>
            </w:r>
          </w:p>
        </w:tc>
        <w:tc>
          <w:tcPr>
            <w:tcW w:w="1180" w:type="dxa"/>
            <w:tcBorders>
              <w:bottom w:val="dashSmallGap" w:sz="4" w:space="0" w:color="auto"/>
            </w:tcBorders>
          </w:tcPr>
          <w:p w14:paraId="6AA6B38D" w14:textId="77777777" w:rsidR="00835C45" w:rsidRPr="0056612C" w:rsidRDefault="00835C45" w:rsidP="005C2571">
            <w:pPr>
              <w:pStyle w:val="NormalWeb"/>
              <w:jc w:val="center"/>
              <w:rPr>
                <w:sz w:val="18"/>
                <w:szCs w:val="18"/>
                <w:lang w:val="en-US"/>
              </w:rPr>
            </w:pPr>
            <w:r w:rsidRPr="0056612C">
              <w:rPr>
                <w:sz w:val="18"/>
                <w:szCs w:val="18"/>
                <w:lang w:val="en-US"/>
              </w:rPr>
              <w:t>45.2 ± 13</w:t>
            </w:r>
          </w:p>
        </w:tc>
        <w:tc>
          <w:tcPr>
            <w:tcW w:w="1276" w:type="dxa"/>
            <w:tcBorders>
              <w:bottom w:val="dashSmallGap" w:sz="4" w:space="0" w:color="auto"/>
            </w:tcBorders>
          </w:tcPr>
          <w:p w14:paraId="184307FC" w14:textId="77777777" w:rsidR="00835C45" w:rsidRPr="0056612C" w:rsidRDefault="00835C45" w:rsidP="005C2571">
            <w:pPr>
              <w:pStyle w:val="NormalWeb"/>
              <w:jc w:val="center"/>
              <w:rPr>
                <w:sz w:val="18"/>
                <w:szCs w:val="18"/>
                <w:lang w:val="en-US"/>
              </w:rPr>
            </w:pPr>
            <w:r w:rsidRPr="0056612C">
              <w:rPr>
                <w:sz w:val="18"/>
                <w:szCs w:val="18"/>
                <w:lang w:val="en-US"/>
              </w:rPr>
              <w:t>49.3 ± 15</w:t>
            </w:r>
          </w:p>
        </w:tc>
        <w:tc>
          <w:tcPr>
            <w:tcW w:w="1275" w:type="dxa"/>
            <w:tcBorders>
              <w:bottom w:val="dashSmallGap" w:sz="4" w:space="0" w:color="auto"/>
            </w:tcBorders>
          </w:tcPr>
          <w:p w14:paraId="5E960744" w14:textId="77777777" w:rsidR="00835C45" w:rsidRPr="0056612C" w:rsidRDefault="00835C45" w:rsidP="005C2571">
            <w:pPr>
              <w:pStyle w:val="NormalWeb"/>
              <w:jc w:val="center"/>
              <w:rPr>
                <w:sz w:val="18"/>
                <w:szCs w:val="18"/>
                <w:lang w:val="en-US"/>
              </w:rPr>
            </w:pPr>
            <w:r w:rsidRPr="0056612C">
              <w:rPr>
                <w:sz w:val="18"/>
                <w:szCs w:val="18"/>
                <w:lang w:val="en-US"/>
              </w:rPr>
              <w:t>43.6 ± 11</w:t>
            </w:r>
          </w:p>
        </w:tc>
        <w:tc>
          <w:tcPr>
            <w:tcW w:w="1418" w:type="dxa"/>
            <w:tcBorders>
              <w:bottom w:val="dashSmallGap" w:sz="4" w:space="0" w:color="auto"/>
            </w:tcBorders>
          </w:tcPr>
          <w:p w14:paraId="3CA1A8CD" w14:textId="77777777" w:rsidR="00835C45" w:rsidRPr="0056612C" w:rsidRDefault="00835C45" w:rsidP="005C2571">
            <w:pPr>
              <w:pStyle w:val="NormalWeb"/>
              <w:jc w:val="center"/>
              <w:rPr>
                <w:sz w:val="18"/>
                <w:szCs w:val="18"/>
                <w:lang w:val="en-US"/>
              </w:rPr>
            </w:pPr>
            <w:r w:rsidRPr="0056612C">
              <w:rPr>
                <w:sz w:val="18"/>
                <w:szCs w:val="18"/>
                <w:lang w:val="en-US"/>
              </w:rPr>
              <w:t>41.2 ± 11</w:t>
            </w:r>
          </w:p>
        </w:tc>
      </w:tr>
      <w:tr w:rsidR="00835C45" w:rsidRPr="0056612C" w14:paraId="1393F00C" w14:textId="77777777" w:rsidTr="005C2571">
        <w:trPr>
          <w:trHeight w:hRule="exact" w:val="284"/>
          <w:jc w:val="center"/>
        </w:trPr>
        <w:tc>
          <w:tcPr>
            <w:tcW w:w="1660" w:type="dxa"/>
            <w:tcBorders>
              <w:top w:val="dashSmallGap" w:sz="4" w:space="0" w:color="auto"/>
            </w:tcBorders>
          </w:tcPr>
          <w:p w14:paraId="3A7FE3E9" w14:textId="77777777" w:rsidR="00835C45" w:rsidRPr="0056612C" w:rsidRDefault="00835C45" w:rsidP="005C2571">
            <w:pPr>
              <w:pStyle w:val="NormalWeb"/>
              <w:spacing w:before="0" w:beforeAutospacing="0" w:after="0" w:afterAutospacing="0"/>
              <w:jc w:val="both"/>
              <w:rPr>
                <w:sz w:val="18"/>
                <w:szCs w:val="18"/>
              </w:rPr>
            </w:pPr>
            <w:r w:rsidRPr="0056612C">
              <w:rPr>
                <w:sz w:val="18"/>
                <w:szCs w:val="18"/>
              </w:rPr>
              <w:t>CMJ</w:t>
            </w:r>
          </w:p>
        </w:tc>
        <w:tc>
          <w:tcPr>
            <w:tcW w:w="1180" w:type="dxa"/>
            <w:tcBorders>
              <w:top w:val="dashSmallGap" w:sz="4" w:space="0" w:color="auto"/>
            </w:tcBorders>
          </w:tcPr>
          <w:p w14:paraId="5757436D" w14:textId="77777777" w:rsidR="00835C45" w:rsidRPr="0056612C" w:rsidRDefault="00835C45" w:rsidP="005C2571">
            <w:pPr>
              <w:pStyle w:val="NormalWeb"/>
              <w:jc w:val="center"/>
              <w:rPr>
                <w:sz w:val="18"/>
                <w:szCs w:val="18"/>
                <w:lang w:val="en-US"/>
              </w:rPr>
            </w:pPr>
            <w:r w:rsidRPr="0056612C">
              <w:rPr>
                <w:sz w:val="18"/>
                <w:szCs w:val="18"/>
                <w:lang w:val="en-US"/>
              </w:rPr>
              <w:t>22.0 ± 3</w:t>
            </w:r>
          </w:p>
        </w:tc>
        <w:tc>
          <w:tcPr>
            <w:tcW w:w="1276" w:type="dxa"/>
            <w:tcBorders>
              <w:top w:val="dashSmallGap" w:sz="4" w:space="0" w:color="auto"/>
            </w:tcBorders>
          </w:tcPr>
          <w:p w14:paraId="49C28803" w14:textId="77777777" w:rsidR="00835C45" w:rsidRPr="0056612C" w:rsidRDefault="00835C45" w:rsidP="005C2571">
            <w:pPr>
              <w:pStyle w:val="NormalWeb"/>
              <w:jc w:val="center"/>
              <w:rPr>
                <w:sz w:val="18"/>
                <w:szCs w:val="18"/>
                <w:lang w:val="en-US"/>
              </w:rPr>
            </w:pPr>
            <w:r w:rsidRPr="0056612C">
              <w:rPr>
                <w:sz w:val="18"/>
                <w:szCs w:val="18"/>
                <w:lang w:val="en-US"/>
              </w:rPr>
              <w:t>29.7 ± 4</w:t>
            </w:r>
          </w:p>
        </w:tc>
        <w:tc>
          <w:tcPr>
            <w:tcW w:w="1275" w:type="dxa"/>
            <w:tcBorders>
              <w:top w:val="dashSmallGap" w:sz="4" w:space="0" w:color="auto"/>
            </w:tcBorders>
          </w:tcPr>
          <w:p w14:paraId="46E8A5A5" w14:textId="77777777" w:rsidR="00835C45" w:rsidRPr="0056612C" w:rsidRDefault="00835C45" w:rsidP="005C2571">
            <w:pPr>
              <w:pStyle w:val="NormalWeb"/>
              <w:jc w:val="center"/>
              <w:rPr>
                <w:sz w:val="18"/>
                <w:szCs w:val="18"/>
                <w:lang w:val="en-US"/>
              </w:rPr>
            </w:pPr>
            <w:r w:rsidRPr="0056612C">
              <w:rPr>
                <w:sz w:val="18"/>
                <w:szCs w:val="18"/>
                <w:lang w:val="en-US"/>
              </w:rPr>
              <w:t>33.1 ± 6</w:t>
            </w:r>
          </w:p>
        </w:tc>
        <w:tc>
          <w:tcPr>
            <w:tcW w:w="1418" w:type="dxa"/>
            <w:tcBorders>
              <w:top w:val="dashSmallGap" w:sz="4" w:space="0" w:color="auto"/>
            </w:tcBorders>
          </w:tcPr>
          <w:p w14:paraId="66277A83" w14:textId="77777777" w:rsidR="00835C45" w:rsidRPr="0056612C" w:rsidRDefault="00835C45" w:rsidP="005C2571">
            <w:pPr>
              <w:pStyle w:val="NormalWeb"/>
              <w:jc w:val="center"/>
              <w:rPr>
                <w:sz w:val="18"/>
                <w:szCs w:val="18"/>
                <w:lang w:val="en-US"/>
              </w:rPr>
            </w:pPr>
            <w:r w:rsidRPr="0056612C">
              <w:rPr>
                <w:sz w:val="18"/>
                <w:szCs w:val="18"/>
                <w:lang w:val="en-US"/>
              </w:rPr>
              <w:t>33.9 ± 4</w:t>
            </w:r>
          </w:p>
        </w:tc>
      </w:tr>
      <w:tr w:rsidR="00835C45" w:rsidRPr="0056612C" w14:paraId="2DC43F59" w14:textId="77777777" w:rsidTr="005C2571">
        <w:trPr>
          <w:trHeight w:hRule="exact" w:val="284"/>
          <w:jc w:val="center"/>
        </w:trPr>
        <w:tc>
          <w:tcPr>
            <w:tcW w:w="1660" w:type="dxa"/>
          </w:tcPr>
          <w:p w14:paraId="2D6CCAE3" w14:textId="77777777" w:rsidR="00835C45" w:rsidRPr="0056612C" w:rsidRDefault="00835C45" w:rsidP="005C2571">
            <w:pPr>
              <w:pStyle w:val="NormalWeb"/>
              <w:spacing w:before="0" w:beforeAutospacing="0" w:after="0" w:afterAutospacing="0"/>
              <w:jc w:val="both"/>
              <w:rPr>
                <w:sz w:val="18"/>
                <w:szCs w:val="18"/>
              </w:rPr>
            </w:pPr>
            <w:r w:rsidRPr="0056612C">
              <w:rPr>
                <w:sz w:val="18"/>
                <w:szCs w:val="18"/>
              </w:rPr>
              <w:t>RSI</w:t>
            </w:r>
          </w:p>
        </w:tc>
        <w:tc>
          <w:tcPr>
            <w:tcW w:w="1180" w:type="dxa"/>
          </w:tcPr>
          <w:p w14:paraId="41B027BA" w14:textId="77777777" w:rsidR="00835C45" w:rsidRPr="0056612C" w:rsidRDefault="00835C45" w:rsidP="005C2571">
            <w:pPr>
              <w:pStyle w:val="NormalWeb"/>
              <w:jc w:val="center"/>
              <w:rPr>
                <w:sz w:val="18"/>
                <w:szCs w:val="18"/>
                <w:lang w:val="en-US"/>
              </w:rPr>
            </w:pPr>
            <w:r w:rsidRPr="0056612C">
              <w:rPr>
                <w:sz w:val="18"/>
                <w:szCs w:val="18"/>
                <w:lang w:val="en-US"/>
              </w:rPr>
              <w:t>0.</w:t>
            </w:r>
            <w:r>
              <w:rPr>
                <w:sz w:val="18"/>
                <w:szCs w:val="18"/>
                <w:lang w:val="en-US"/>
              </w:rPr>
              <w:t>6</w:t>
            </w:r>
            <w:r w:rsidRPr="0056612C">
              <w:rPr>
                <w:sz w:val="18"/>
                <w:szCs w:val="18"/>
                <w:lang w:val="en-US"/>
              </w:rPr>
              <w:t xml:space="preserve"> ± 0.2</w:t>
            </w:r>
          </w:p>
        </w:tc>
        <w:tc>
          <w:tcPr>
            <w:tcW w:w="1276" w:type="dxa"/>
          </w:tcPr>
          <w:p w14:paraId="1DF0EC6E" w14:textId="77777777" w:rsidR="00835C45" w:rsidRPr="0056612C" w:rsidRDefault="00835C45" w:rsidP="005C2571">
            <w:pPr>
              <w:pStyle w:val="NormalWeb"/>
              <w:jc w:val="center"/>
              <w:rPr>
                <w:sz w:val="18"/>
                <w:szCs w:val="18"/>
                <w:lang w:val="en-US"/>
              </w:rPr>
            </w:pPr>
            <w:r w:rsidRPr="0056612C">
              <w:rPr>
                <w:sz w:val="18"/>
                <w:szCs w:val="18"/>
                <w:lang w:val="en-US"/>
              </w:rPr>
              <w:t>0.7 ± 0.2</w:t>
            </w:r>
          </w:p>
        </w:tc>
        <w:tc>
          <w:tcPr>
            <w:tcW w:w="1275" w:type="dxa"/>
          </w:tcPr>
          <w:p w14:paraId="3EAAF3FB" w14:textId="77777777" w:rsidR="00835C45" w:rsidRPr="0056612C" w:rsidRDefault="00835C45" w:rsidP="005C2571">
            <w:pPr>
              <w:pStyle w:val="NormalWeb"/>
              <w:jc w:val="center"/>
              <w:rPr>
                <w:sz w:val="18"/>
                <w:szCs w:val="18"/>
                <w:lang w:val="en-US"/>
              </w:rPr>
            </w:pPr>
            <w:r w:rsidRPr="0056612C">
              <w:rPr>
                <w:sz w:val="18"/>
                <w:szCs w:val="18"/>
                <w:lang w:val="en-US"/>
              </w:rPr>
              <w:t>0.</w:t>
            </w:r>
            <w:r>
              <w:rPr>
                <w:sz w:val="18"/>
                <w:szCs w:val="18"/>
                <w:lang w:val="en-US"/>
              </w:rPr>
              <w:t>56</w:t>
            </w:r>
            <w:r w:rsidRPr="0056612C">
              <w:rPr>
                <w:sz w:val="18"/>
                <w:szCs w:val="18"/>
                <w:lang w:val="en-US"/>
              </w:rPr>
              <w:t xml:space="preserve"> ± 0.2</w:t>
            </w:r>
          </w:p>
        </w:tc>
        <w:tc>
          <w:tcPr>
            <w:tcW w:w="1418" w:type="dxa"/>
          </w:tcPr>
          <w:p w14:paraId="3F5EAA9E" w14:textId="77777777" w:rsidR="00835C45" w:rsidRPr="0056612C" w:rsidRDefault="00835C45" w:rsidP="005C2571">
            <w:pPr>
              <w:pStyle w:val="NormalWeb"/>
              <w:jc w:val="center"/>
              <w:rPr>
                <w:sz w:val="18"/>
                <w:szCs w:val="18"/>
                <w:lang w:val="en-US"/>
              </w:rPr>
            </w:pPr>
            <w:r w:rsidRPr="0056612C">
              <w:rPr>
                <w:sz w:val="18"/>
                <w:szCs w:val="18"/>
                <w:lang w:val="en-US"/>
              </w:rPr>
              <w:t>0.</w:t>
            </w:r>
            <w:r>
              <w:rPr>
                <w:sz w:val="18"/>
                <w:szCs w:val="18"/>
                <w:lang w:val="en-US"/>
              </w:rPr>
              <w:t>6</w:t>
            </w:r>
            <w:r w:rsidRPr="0056612C">
              <w:rPr>
                <w:sz w:val="18"/>
                <w:szCs w:val="18"/>
                <w:lang w:val="en-US"/>
              </w:rPr>
              <w:t xml:space="preserve"> ± 0.1</w:t>
            </w:r>
          </w:p>
        </w:tc>
      </w:tr>
      <w:tr w:rsidR="00835C45" w:rsidRPr="0056612C" w14:paraId="517DAAD0" w14:textId="77777777" w:rsidTr="005C2571">
        <w:trPr>
          <w:trHeight w:hRule="exact" w:val="284"/>
          <w:jc w:val="center"/>
        </w:trPr>
        <w:tc>
          <w:tcPr>
            <w:tcW w:w="1660" w:type="dxa"/>
          </w:tcPr>
          <w:p w14:paraId="5CBF0BE7" w14:textId="77777777" w:rsidR="00835C45" w:rsidRPr="0056612C" w:rsidRDefault="00835C45" w:rsidP="005C2571">
            <w:pPr>
              <w:pStyle w:val="NormalWeb"/>
              <w:spacing w:before="0" w:beforeAutospacing="0" w:after="0" w:afterAutospacing="0"/>
              <w:jc w:val="both"/>
              <w:rPr>
                <w:sz w:val="18"/>
                <w:szCs w:val="18"/>
              </w:rPr>
            </w:pPr>
            <w:r w:rsidRPr="0056612C">
              <w:rPr>
                <w:sz w:val="18"/>
                <w:szCs w:val="18"/>
              </w:rPr>
              <w:t>ABS</w:t>
            </w:r>
          </w:p>
        </w:tc>
        <w:tc>
          <w:tcPr>
            <w:tcW w:w="1180" w:type="dxa"/>
          </w:tcPr>
          <w:p w14:paraId="28387D34" w14:textId="77777777" w:rsidR="00835C45" w:rsidRPr="0056612C" w:rsidRDefault="00835C45" w:rsidP="005C2571">
            <w:pPr>
              <w:pStyle w:val="NormalWeb"/>
              <w:jc w:val="center"/>
              <w:rPr>
                <w:sz w:val="18"/>
                <w:szCs w:val="18"/>
                <w:lang w:val="en-US"/>
              </w:rPr>
            </w:pPr>
            <w:r w:rsidRPr="0056612C">
              <w:rPr>
                <w:sz w:val="18"/>
                <w:szCs w:val="18"/>
                <w:lang w:val="en-US"/>
              </w:rPr>
              <w:t>15.4 ± 6</w:t>
            </w:r>
          </w:p>
        </w:tc>
        <w:tc>
          <w:tcPr>
            <w:tcW w:w="1276" w:type="dxa"/>
          </w:tcPr>
          <w:p w14:paraId="1A27F707" w14:textId="77777777" w:rsidR="00835C45" w:rsidRPr="0056612C" w:rsidRDefault="00835C45" w:rsidP="005C2571">
            <w:pPr>
              <w:pStyle w:val="NormalWeb"/>
              <w:jc w:val="center"/>
              <w:rPr>
                <w:sz w:val="18"/>
                <w:szCs w:val="18"/>
                <w:lang w:val="en-US"/>
              </w:rPr>
            </w:pPr>
            <w:r w:rsidRPr="0056612C">
              <w:rPr>
                <w:sz w:val="18"/>
                <w:szCs w:val="18"/>
                <w:lang w:val="en-US"/>
              </w:rPr>
              <w:t xml:space="preserve">18.6 ± </w:t>
            </w:r>
            <w:r>
              <w:rPr>
                <w:sz w:val="18"/>
                <w:szCs w:val="18"/>
                <w:lang w:val="en-US"/>
              </w:rPr>
              <w:t>8</w:t>
            </w:r>
          </w:p>
        </w:tc>
        <w:tc>
          <w:tcPr>
            <w:tcW w:w="1275" w:type="dxa"/>
          </w:tcPr>
          <w:p w14:paraId="0A3C97CB" w14:textId="77777777" w:rsidR="00835C45" w:rsidRPr="0056612C" w:rsidRDefault="00835C45" w:rsidP="005C2571">
            <w:pPr>
              <w:pStyle w:val="NormalWeb"/>
              <w:jc w:val="center"/>
              <w:rPr>
                <w:sz w:val="18"/>
                <w:szCs w:val="18"/>
                <w:lang w:val="en-US"/>
              </w:rPr>
            </w:pPr>
            <w:r w:rsidRPr="0056612C">
              <w:rPr>
                <w:sz w:val="18"/>
                <w:szCs w:val="18"/>
                <w:lang w:val="en-US"/>
              </w:rPr>
              <w:t xml:space="preserve">18.9 ± </w:t>
            </w:r>
            <w:r>
              <w:rPr>
                <w:sz w:val="18"/>
                <w:szCs w:val="18"/>
                <w:lang w:val="en-US"/>
              </w:rPr>
              <w:t>5</w:t>
            </w:r>
          </w:p>
        </w:tc>
        <w:tc>
          <w:tcPr>
            <w:tcW w:w="1418" w:type="dxa"/>
          </w:tcPr>
          <w:p w14:paraId="51980ED4" w14:textId="77777777" w:rsidR="00835C45" w:rsidRPr="0056612C" w:rsidRDefault="00835C45" w:rsidP="005C2571">
            <w:pPr>
              <w:pStyle w:val="NormalWeb"/>
              <w:jc w:val="center"/>
              <w:rPr>
                <w:sz w:val="18"/>
                <w:szCs w:val="18"/>
                <w:lang w:val="en-US"/>
              </w:rPr>
            </w:pPr>
            <w:r w:rsidRPr="0056612C">
              <w:rPr>
                <w:sz w:val="18"/>
                <w:szCs w:val="18"/>
                <w:lang w:val="en-US"/>
              </w:rPr>
              <w:t xml:space="preserve">19.7 ± </w:t>
            </w:r>
            <w:r>
              <w:rPr>
                <w:sz w:val="18"/>
                <w:szCs w:val="18"/>
                <w:lang w:val="en-US"/>
              </w:rPr>
              <w:t>5</w:t>
            </w:r>
          </w:p>
        </w:tc>
      </w:tr>
      <w:tr w:rsidR="00835C45" w:rsidRPr="0056612C" w14:paraId="50F60CEF" w14:textId="77777777" w:rsidTr="005C2571">
        <w:trPr>
          <w:trHeight w:hRule="exact" w:val="284"/>
          <w:jc w:val="center"/>
        </w:trPr>
        <w:tc>
          <w:tcPr>
            <w:tcW w:w="1660" w:type="dxa"/>
            <w:tcBorders>
              <w:bottom w:val="single" w:sz="4" w:space="0" w:color="000000" w:themeColor="text1"/>
            </w:tcBorders>
          </w:tcPr>
          <w:p w14:paraId="5D0ED88F" w14:textId="77777777" w:rsidR="00835C45" w:rsidRPr="0056612C" w:rsidRDefault="00835C45" w:rsidP="005C2571">
            <w:pPr>
              <w:pStyle w:val="NormalWeb"/>
              <w:spacing w:before="0" w:beforeAutospacing="0" w:after="0" w:afterAutospacing="0"/>
              <w:jc w:val="both"/>
              <w:rPr>
                <w:sz w:val="18"/>
                <w:szCs w:val="18"/>
              </w:rPr>
            </w:pPr>
            <w:r w:rsidRPr="0056612C">
              <w:rPr>
                <w:sz w:val="18"/>
                <w:szCs w:val="18"/>
              </w:rPr>
              <w:t>REL</w:t>
            </w:r>
          </w:p>
        </w:tc>
        <w:tc>
          <w:tcPr>
            <w:tcW w:w="1180" w:type="dxa"/>
            <w:tcBorders>
              <w:bottom w:val="single" w:sz="4" w:space="0" w:color="000000" w:themeColor="text1"/>
            </w:tcBorders>
          </w:tcPr>
          <w:p w14:paraId="1D96CE7A" w14:textId="77777777" w:rsidR="00835C45" w:rsidRPr="0056612C" w:rsidRDefault="00835C45" w:rsidP="005C2571">
            <w:pPr>
              <w:pStyle w:val="NormalWeb"/>
              <w:jc w:val="center"/>
              <w:rPr>
                <w:sz w:val="18"/>
                <w:szCs w:val="18"/>
                <w:lang w:val="en-US"/>
              </w:rPr>
            </w:pPr>
            <w:r w:rsidRPr="0056612C">
              <w:rPr>
                <w:sz w:val="18"/>
                <w:szCs w:val="18"/>
                <w:lang w:val="en-US"/>
              </w:rPr>
              <w:t>26.2 ± 12</w:t>
            </w:r>
          </w:p>
        </w:tc>
        <w:tc>
          <w:tcPr>
            <w:tcW w:w="1276" w:type="dxa"/>
            <w:tcBorders>
              <w:bottom w:val="single" w:sz="4" w:space="0" w:color="000000" w:themeColor="text1"/>
            </w:tcBorders>
          </w:tcPr>
          <w:p w14:paraId="3D7BE0B5" w14:textId="77777777" w:rsidR="00835C45" w:rsidRPr="0056612C" w:rsidRDefault="00835C45" w:rsidP="005C2571">
            <w:pPr>
              <w:pStyle w:val="NormalWeb"/>
              <w:jc w:val="center"/>
              <w:rPr>
                <w:sz w:val="18"/>
                <w:szCs w:val="18"/>
                <w:lang w:val="en-US"/>
              </w:rPr>
            </w:pPr>
            <w:r w:rsidRPr="0056612C">
              <w:rPr>
                <w:sz w:val="18"/>
                <w:szCs w:val="18"/>
                <w:lang w:val="en-US"/>
              </w:rPr>
              <w:t>25.6 ± 12</w:t>
            </w:r>
          </w:p>
        </w:tc>
        <w:tc>
          <w:tcPr>
            <w:tcW w:w="1275" w:type="dxa"/>
            <w:tcBorders>
              <w:bottom w:val="single" w:sz="4" w:space="0" w:color="000000" w:themeColor="text1"/>
            </w:tcBorders>
          </w:tcPr>
          <w:p w14:paraId="5468570B" w14:textId="77777777" w:rsidR="00835C45" w:rsidRPr="0056612C" w:rsidRDefault="00835C45" w:rsidP="005C2571">
            <w:pPr>
              <w:pStyle w:val="NormalWeb"/>
              <w:jc w:val="center"/>
              <w:rPr>
                <w:sz w:val="18"/>
                <w:szCs w:val="18"/>
                <w:lang w:val="en-US"/>
              </w:rPr>
            </w:pPr>
            <w:r w:rsidRPr="0056612C">
              <w:rPr>
                <w:sz w:val="18"/>
                <w:szCs w:val="18"/>
                <w:lang w:val="en-US"/>
              </w:rPr>
              <w:t>25.4 ± 7</w:t>
            </w:r>
          </w:p>
        </w:tc>
        <w:tc>
          <w:tcPr>
            <w:tcW w:w="1418" w:type="dxa"/>
            <w:tcBorders>
              <w:bottom w:val="single" w:sz="4" w:space="0" w:color="000000" w:themeColor="text1"/>
            </w:tcBorders>
          </w:tcPr>
          <w:p w14:paraId="41E0324A" w14:textId="77777777" w:rsidR="00835C45" w:rsidRPr="0056612C" w:rsidRDefault="00835C45" w:rsidP="005C2571">
            <w:pPr>
              <w:pStyle w:val="NormalWeb"/>
              <w:jc w:val="center"/>
              <w:rPr>
                <w:sz w:val="18"/>
                <w:szCs w:val="18"/>
                <w:lang w:val="en-US"/>
              </w:rPr>
            </w:pPr>
            <w:r w:rsidRPr="0056612C">
              <w:rPr>
                <w:sz w:val="18"/>
                <w:szCs w:val="18"/>
                <w:lang w:val="en-US"/>
              </w:rPr>
              <w:t xml:space="preserve">24.9 ± </w:t>
            </w:r>
            <w:r>
              <w:rPr>
                <w:sz w:val="18"/>
                <w:szCs w:val="18"/>
                <w:lang w:val="en-US"/>
              </w:rPr>
              <w:t>6</w:t>
            </w:r>
          </w:p>
        </w:tc>
      </w:tr>
      <w:tr w:rsidR="00835C45" w:rsidRPr="0056612C" w14:paraId="6335013E" w14:textId="77777777" w:rsidTr="005C2571">
        <w:trPr>
          <w:trHeight w:hRule="exact" w:val="523"/>
          <w:jc w:val="center"/>
        </w:trPr>
        <w:tc>
          <w:tcPr>
            <w:tcW w:w="6809" w:type="dxa"/>
            <w:gridSpan w:val="5"/>
            <w:tcBorders>
              <w:top w:val="single" w:sz="4" w:space="0" w:color="000000" w:themeColor="text1"/>
            </w:tcBorders>
          </w:tcPr>
          <w:p w14:paraId="0A5B14AE" w14:textId="77777777" w:rsidR="00835C45" w:rsidRPr="00E91671" w:rsidRDefault="00835C45" w:rsidP="005C2571">
            <w:pPr>
              <w:pStyle w:val="NormalWeb"/>
              <w:rPr>
                <w:sz w:val="15"/>
                <w:szCs w:val="15"/>
                <w:lang w:val="en-US"/>
              </w:rPr>
            </w:pPr>
            <w:r w:rsidRPr="00E91671">
              <w:rPr>
                <w:sz w:val="15"/>
                <w:szCs w:val="15"/>
              </w:rPr>
              <w:t xml:space="preserve">PAH%, percentage </w:t>
            </w:r>
            <w:proofErr w:type="spellStart"/>
            <w:r w:rsidRPr="00E91671">
              <w:rPr>
                <w:sz w:val="15"/>
                <w:szCs w:val="15"/>
              </w:rPr>
              <w:t>of</w:t>
            </w:r>
            <w:proofErr w:type="spellEnd"/>
            <w:r w:rsidRPr="00E91671">
              <w:rPr>
                <w:sz w:val="15"/>
                <w:szCs w:val="15"/>
              </w:rPr>
              <w:t xml:space="preserve"> predicted </w:t>
            </w:r>
            <w:proofErr w:type="spellStart"/>
            <w:r w:rsidRPr="00E91671">
              <w:rPr>
                <w:sz w:val="15"/>
                <w:szCs w:val="15"/>
              </w:rPr>
              <w:t>adult</w:t>
            </w:r>
            <w:proofErr w:type="spellEnd"/>
            <w:r w:rsidRPr="00E91671">
              <w:rPr>
                <w:sz w:val="15"/>
                <w:szCs w:val="15"/>
              </w:rPr>
              <w:t xml:space="preserve"> </w:t>
            </w:r>
            <w:proofErr w:type="spellStart"/>
            <w:r w:rsidRPr="00E91671">
              <w:rPr>
                <w:sz w:val="15"/>
                <w:szCs w:val="15"/>
              </w:rPr>
              <w:t>height</w:t>
            </w:r>
            <w:proofErr w:type="spellEnd"/>
            <w:r w:rsidRPr="00E91671">
              <w:rPr>
                <w:sz w:val="15"/>
                <w:szCs w:val="15"/>
              </w:rPr>
              <w:t xml:space="preserve">; </w:t>
            </w:r>
            <w:r>
              <w:rPr>
                <w:sz w:val="15"/>
                <w:szCs w:val="15"/>
              </w:rPr>
              <w:t xml:space="preserve">sRPE, </w:t>
            </w:r>
            <w:proofErr w:type="spellStart"/>
            <w:r>
              <w:rPr>
                <w:sz w:val="15"/>
                <w:szCs w:val="15"/>
              </w:rPr>
              <w:t>sessional</w:t>
            </w:r>
            <w:proofErr w:type="spellEnd"/>
            <w:r>
              <w:rPr>
                <w:sz w:val="15"/>
                <w:szCs w:val="15"/>
              </w:rPr>
              <w:t xml:space="preserve"> rating </w:t>
            </w:r>
            <w:proofErr w:type="spellStart"/>
            <w:r>
              <w:rPr>
                <w:sz w:val="15"/>
                <w:szCs w:val="15"/>
              </w:rPr>
              <w:t>of</w:t>
            </w:r>
            <w:proofErr w:type="spellEnd"/>
            <w:r>
              <w:rPr>
                <w:sz w:val="15"/>
                <w:szCs w:val="15"/>
              </w:rPr>
              <w:t xml:space="preserve"> </w:t>
            </w:r>
            <w:proofErr w:type="spellStart"/>
            <w:r>
              <w:rPr>
                <w:sz w:val="15"/>
                <w:szCs w:val="15"/>
              </w:rPr>
              <w:t>perceived</w:t>
            </w:r>
            <w:proofErr w:type="spellEnd"/>
            <w:r>
              <w:rPr>
                <w:sz w:val="15"/>
                <w:szCs w:val="15"/>
              </w:rPr>
              <w:t xml:space="preserve"> </w:t>
            </w:r>
            <w:proofErr w:type="spellStart"/>
            <w:r>
              <w:rPr>
                <w:sz w:val="15"/>
                <w:szCs w:val="15"/>
              </w:rPr>
              <w:t>exertion</w:t>
            </w:r>
            <w:proofErr w:type="spellEnd"/>
            <w:r>
              <w:rPr>
                <w:sz w:val="15"/>
                <w:szCs w:val="15"/>
              </w:rPr>
              <w:t>; RPE-B, RPE breathlessness; RPE-L, RPE-</w:t>
            </w:r>
            <w:proofErr w:type="spellStart"/>
            <w:r>
              <w:rPr>
                <w:sz w:val="15"/>
                <w:szCs w:val="15"/>
              </w:rPr>
              <w:t>leg</w:t>
            </w:r>
            <w:proofErr w:type="spellEnd"/>
            <w:r>
              <w:rPr>
                <w:sz w:val="15"/>
                <w:szCs w:val="15"/>
              </w:rPr>
              <w:t xml:space="preserve"> </w:t>
            </w:r>
            <w:proofErr w:type="spellStart"/>
            <w:r>
              <w:rPr>
                <w:sz w:val="15"/>
                <w:szCs w:val="15"/>
              </w:rPr>
              <w:t>exertion</w:t>
            </w:r>
            <w:proofErr w:type="spellEnd"/>
            <w:r>
              <w:rPr>
                <w:sz w:val="15"/>
                <w:szCs w:val="15"/>
              </w:rPr>
              <w:t>; RPE-T, RPE-</w:t>
            </w:r>
            <w:proofErr w:type="spellStart"/>
            <w:r>
              <w:rPr>
                <w:sz w:val="15"/>
                <w:szCs w:val="15"/>
              </w:rPr>
              <w:t>technical</w:t>
            </w:r>
            <w:proofErr w:type="spellEnd"/>
            <w:r>
              <w:rPr>
                <w:sz w:val="15"/>
                <w:szCs w:val="15"/>
              </w:rPr>
              <w:t xml:space="preserve"> </w:t>
            </w:r>
            <w:proofErr w:type="spellStart"/>
            <w:r>
              <w:rPr>
                <w:sz w:val="15"/>
                <w:szCs w:val="15"/>
              </w:rPr>
              <w:t>exertion</w:t>
            </w:r>
            <w:proofErr w:type="spellEnd"/>
            <w:r>
              <w:rPr>
                <w:sz w:val="15"/>
                <w:szCs w:val="15"/>
              </w:rPr>
              <w:t xml:space="preserve">; CMJ, countermovement </w:t>
            </w:r>
            <w:proofErr w:type="spellStart"/>
            <w:r>
              <w:rPr>
                <w:sz w:val="15"/>
                <w:szCs w:val="15"/>
              </w:rPr>
              <w:t>jump</w:t>
            </w:r>
            <w:proofErr w:type="spellEnd"/>
            <w:r>
              <w:rPr>
                <w:sz w:val="15"/>
                <w:szCs w:val="15"/>
              </w:rPr>
              <w:t xml:space="preserve">; RSI, reactive </w:t>
            </w:r>
            <w:proofErr w:type="spellStart"/>
            <w:r>
              <w:rPr>
                <w:sz w:val="15"/>
                <w:szCs w:val="15"/>
              </w:rPr>
              <w:t>strength</w:t>
            </w:r>
            <w:proofErr w:type="spellEnd"/>
            <w:r>
              <w:rPr>
                <w:sz w:val="15"/>
                <w:szCs w:val="15"/>
              </w:rPr>
              <w:t xml:space="preserve"> </w:t>
            </w:r>
            <w:proofErr w:type="spellStart"/>
            <w:r>
              <w:rPr>
                <w:sz w:val="15"/>
                <w:szCs w:val="15"/>
              </w:rPr>
              <w:t>index</w:t>
            </w:r>
            <w:proofErr w:type="spellEnd"/>
            <w:r>
              <w:rPr>
                <w:sz w:val="15"/>
                <w:szCs w:val="15"/>
              </w:rPr>
              <w:t>; ABS, absolute stiffness; REL, relative stiffness</w:t>
            </w:r>
          </w:p>
        </w:tc>
      </w:tr>
    </w:tbl>
    <w:p w14:paraId="037DA3E9" w14:textId="77777777" w:rsidR="00835C45" w:rsidRDefault="00835C45" w:rsidP="00835C45">
      <w:pPr>
        <w:rPr>
          <w:rFonts w:ascii="Times New Roman" w:hAnsi="Times New Roman" w:cs="Times New Roman"/>
          <w:sz w:val="20"/>
          <w:szCs w:val="20"/>
        </w:rPr>
      </w:pPr>
      <w:r>
        <w:rPr>
          <w:rFonts w:ascii="Times New Roman" w:hAnsi="Times New Roman" w:cs="Times New Roman"/>
          <w:sz w:val="20"/>
          <w:szCs w:val="20"/>
        </w:rPr>
        <w:br w:type="page"/>
      </w:r>
    </w:p>
    <w:p w14:paraId="0605C2D7" w14:textId="77777777" w:rsidR="00835C45" w:rsidRDefault="00835C45" w:rsidP="00835C45">
      <w:pPr>
        <w:rPr>
          <w:rFonts w:ascii="Times New Roman" w:hAnsi="Times New Roman" w:cs="Times New Roman"/>
          <w:noProof/>
          <w:sz w:val="20"/>
          <w:szCs w:val="20"/>
        </w:rPr>
      </w:pPr>
      <w:r>
        <w:rPr>
          <w:rFonts w:ascii="Times New Roman" w:hAnsi="Times New Roman" w:cs="Times New Roman"/>
          <w:noProof/>
          <w:sz w:val="20"/>
          <w:szCs w:val="20"/>
        </w:rPr>
        <w:lastRenderedPageBreak/>
        <w:drawing>
          <wp:inline distT="0" distB="0" distL="0" distR="0" wp14:anchorId="6FEE187F" wp14:editId="1C2EBB2C">
            <wp:extent cx="6031455" cy="2937869"/>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59373" cy="2951468"/>
                    </a:xfrm>
                    <a:prstGeom prst="rect">
                      <a:avLst/>
                    </a:prstGeom>
                  </pic:spPr>
                </pic:pic>
              </a:graphicData>
            </a:graphic>
          </wp:inline>
        </w:drawing>
      </w:r>
    </w:p>
    <w:p w14:paraId="2610777E" w14:textId="77777777" w:rsidR="00835C45" w:rsidRDefault="00835C45" w:rsidP="00835C45">
      <w:pPr>
        <w:rPr>
          <w:rFonts w:ascii="Times New Roman" w:hAnsi="Times New Roman" w:cs="Times New Roman"/>
          <w:noProof/>
          <w:sz w:val="20"/>
          <w:szCs w:val="20"/>
        </w:rPr>
      </w:pPr>
    </w:p>
    <w:p w14:paraId="60C4D7E4" w14:textId="77777777" w:rsidR="00835C45" w:rsidRDefault="00835C45" w:rsidP="00835C45">
      <w:pPr>
        <w:tabs>
          <w:tab w:val="left" w:pos="2337"/>
        </w:tabs>
        <w:rPr>
          <w:rFonts w:ascii="Times New Roman" w:hAnsi="Times New Roman" w:cs="Times New Roman"/>
          <w:sz w:val="20"/>
          <w:szCs w:val="20"/>
        </w:rPr>
      </w:pPr>
      <w:r>
        <w:rPr>
          <w:rFonts w:ascii="Times New Roman" w:hAnsi="Times New Roman" w:cs="Times New Roman"/>
          <w:sz w:val="20"/>
          <w:szCs w:val="20"/>
        </w:rPr>
        <w:tab/>
      </w:r>
    </w:p>
    <w:p w14:paraId="7A9B2BBA" w14:textId="77777777" w:rsidR="00835C45" w:rsidRDefault="00835C45" w:rsidP="00835C45">
      <w:pPr>
        <w:spacing w:line="480" w:lineRule="auto"/>
        <w:jc w:val="both"/>
        <w:rPr>
          <w:rFonts w:ascii="Times New Roman" w:hAnsi="Times New Roman" w:cs="Times New Roman"/>
          <w:sz w:val="16"/>
          <w:szCs w:val="16"/>
        </w:rPr>
      </w:pPr>
      <w:r w:rsidRPr="00590287">
        <w:rPr>
          <w:rFonts w:ascii="Times New Roman" w:hAnsi="Times New Roman" w:cs="Times New Roman"/>
          <w:sz w:val="16"/>
          <w:szCs w:val="16"/>
        </w:rPr>
        <w:t xml:space="preserve">Figure 1. </w:t>
      </w:r>
      <w:r>
        <w:rPr>
          <w:rFonts w:ascii="Times New Roman" w:hAnsi="Times New Roman" w:cs="Times New Roman"/>
          <w:sz w:val="16"/>
          <w:szCs w:val="16"/>
        </w:rPr>
        <w:t>Box (25</w:t>
      </w:r>
      <w:r w:rsidRPr="00007D2C">
        <w:rPr>
          <w:rFonts w:ascii="Times New Roman" w:hAnsi="Times New Roman" w:cs="Times New Roman"/>
          <w:sz w:val="16"/>
          <w:szCs w:val="16"/>
          <w:vertAlign w:val="superscript"/>
        </w:rPr>
        <w:t>th</w:t>
      </w:r>
      <w:r>
        <w:rPr>
          <w:rFonts w:ascii="Times New Roman" w:hAnsi="Times New Roman" w:cs="Times New Roman"/>
          <w:sz w:val="16"/>
          <w:szCs w:val="16"/>
        </w:rPr>
        <w:t xml:space="preserve"> to 75th percentile) and whisker (minimum and maximum) </w:t>
      </w:r>
      <w:r w:rsidRPr="00590287">
        <w:rPr>
          <w:rFonts w:ascii="Times New Roman" w:hAnsi="Times New Roman" w:cs="Times New Roman"/>
          <w:sz w:val="16"/>
          <w:szCs w:val="16"/>
        </w:rPr>
        <w:t xml:space="preserve">ratings of </w:t>
      </w:r>
      <w:r>
        <w:rPr>
          <w:rFonts w:ascii="Times New Roman" w:hAnsi="Times New Roman" w:cs="Times New Roman"/>
          <w:sz w:val="16"/>
          <w:szCs w:val="16"/>
        </w:rPr>
        <w:t xml:space="preserve">each </w:t>
      </w:r>
      <w:r w:rsidRPr="00590287">
        <w:rPr>
          <w:rFonts w:ascii="Times New Roman" w:hAnsi="Times New Roman" w:cs="Times New Roman"/>
          <w:sz w:val="16"/>
          <w:szCs w:val="16"/>
        </w:rPr>
        <w:t xml:space="preserve">differential-RPE </w:t>
      </w:r>
      <w:r>
        <w:rPr>
          <w:rFonts w:ascii="Times New Roman" w:hAnsi="Times New Roman" w:cs="Times New Roman"/>
          <w:sz w:val="16"/>
          <w:szCs w:val="16"/>
        </w:rPr>
        <w:t>across</w:t>
      </w:r>
      <w:r w:rsidRPr="00590287">
        <w:rPr>
          <w:rFonts w:ascii="Times New Roman" w:hAnsi="Times New Roman" w:cs="Times New Roman"/>
          <w:sz w:val="16"/>
          <w:szCs w:val="16"/>
        </w:rPr>
        <w:t xml:space="preserve"> </w:t>
      </w:r>
      <w:r>
        <w:rPr>
          <w:rFonts w:ascii="Times New Roman" w:hAnsi="Times New Roman" w:cs="Times New Roman"/>
          <w:sz w:val="16"/>
          <w:szCs w:val="16"/>
        </w:rPr>
        <w:t xml:space="preserve">chronological </w:t>
      </w:r>
      <w:r w:rsidRPr="00590287">
        <w:rPr>
          <w:rFonts w:ascii="Times New Roman" w:hAnsi="Times New Roman" w:cs="Times New Roman"/>
          <w:sz w:val="16"/>
          <w:szCs w:val="16"/>
        </w:rPr>
        <w:t>age-group</w:t>
      </w:r>
      <w:r>
        <w:rPr>
          <w:rFonts w:ascii="Times New Roman" w:hAnsi="Times New Roman" w:cs="Times New Roman"/>
          <w:sz w:val="16"/>
          <w:szCs w:val="16"/>
        </w:rPr>
        <w:t>s</w:t>
      </w:r>
      <w:r w:rsidRPr="00590287">
        <w:rPr>
          <w:rFonts w:ascii="Times New Roman" w:hAnsi="Times New Roman" w:cs="Times New Roman"/>
          <w:sz w:val="16"/>
          <w:szCs w:val="16"/>
        </w:rPr>
        <w:t xml:space="preserve"> </w:t>
      </w:r>
      <w:r>
        <w:rPr>
          <w:rFonts w:ascii="Times New Roman" w:hAnsi="Times New Roman" w:cs="Times New Roman"/>
          <w:sz w:val="16"/>
          <w:szCs w:val="16"/>
        </w:rPr>
        <w:t>for</w:t>
      </w:r>
      <w:r w:rsidRPr="00590287">
        <w:rPr>
          <w:rFonts w:ascii="Times New Roman" w:hAnsi="Times New Roman" w:cs="Times New Roman"/>
          <w:sz w:val="16"/>
          <w:szCs w:val="16"/>
        </w:rPr>
        <w:t xml:space="preserve"> the full season aligned to the </w:t>
      </w:r>
      <w:r>
        <w:rPr>
          <w:rFonts w:ascii="Times New Roman" w:hAnsi="Times New Roman" w:cs="Times New Roman"/>
          <w:sz w:val="16"/>
          <w:szCs w:val="16"/>
        </w:rPr>
        <w:t xml:space="preserve">verbal anchors of the </w:t>
      </w:r>
      <w:r w:rsidRPr="00590287">
        <w:rPr>
          <w:rFonts w:ascii="Times New Roman" w:hAnsi="Times New Roman" w:cs="Times New Roman"/>
          <w:sz w:val="16"/>
          <w:szCs w:val="16"/>
        </w:rPr>
        <w:t>Borg CR-100 centi-MAX scale</w:t>
      </w:r>
      <w:r>
        <w:rPr>
          <w:rFonts w:ascii="Times New Roman" w:hAnsi="Times New Roman" w:cs="Times New Roman"/>
          <w:sz w:val="16"/>
          <w:szCs w:val="16"/>
        </w:rPr>
        <w:t xml:space="preserve"> </w:t>
      </w:r>
    </w:p>
    <w:p w14:paraId="2DE97FF9" w14:textId="77777777" w:rsidR="00835C45" w:rsidRDefault="00835C45" w:rsidP="00835C45">
      <w:pPr>
        <w:tabs>
          <w:tab w:val="left" w:pos="2337"/>
        </w:tabs>
        <w:rPr>
          <w:rFonts w:ascii="Times New Roman" w:hAnsi="Times New Roman" w:cs="Times New Roman"/>
          <w:sz w:val="20"/>
          <w:szCs w:val="20"/>
        </w:rPr>
      </w:pPr>
      <w:r>
        <w:rPr>
          <w:rFonts w:ascii="Times New Roman" w:hAnsi="Times New Roman" w:cs="Times New Roman"/>
          <w:sz w:val="20"/>
          <w:szCs w:val="20"/>
        </w:rPr>
        <w:br w:type="page"/>
      </w: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825"/>
        <w:gridCol w:w="566"/>
        <w:gridCol w:w="708"/>
        <w:gridCol w:w="711"/>
        <w:gridCol w:w="1837"/>
        <w:gridCol w:w="567"/>
        <w:gridCol w:w="3664"/>
      </w:tblGrid>
      <w:tr w:rsidR="00835C45" w:rsidRPr="0056612C" w14:paraId="1CE4C275" w14:textId="77777777" w:rsidTr="005C2571">
        <w:trPr>
          <w:trHeight w:hRule="exact" w:val="532"/>
          <w:jc w:val="center"/>
        </w:trPr>
        <w:tc>
          <w:tcPr>
            <w:tcW w:w="9781" w:type="dxa"/>
            <w:gridSpan w:val="8"/>
            <w:tcBorders>
              <w:bottom w:val="single" w:sz="4" w:space="0" w:color="auto"/>
            </w:tcBorders>
          </w:tcPr>
          <w:p w14:paraId="71DF419B" w14:textId="77777777" w:rsidR="00835C45" w:rsidRPr="0056612C" w:rsidRDefault="00835C45" w:rsidP="005C2571">
            <w:pPr>
              <w:rPr>
                <w:rFonts w:ascii="Times New Roman" w:hAnsi="Times New Roman" w:cs="Times New Roman"/>
                <w:sz w:val="18"/>
                <w:szCs w:val="18"/>
                <w:lang w:val="en-US"/>
              </w:rPr>
            </w:pPr>
            <w:r w:rsidRPr="0056612C">
              <w:rPr>
                <w:rFonts w:ascii="Times New Roman" w:hAnsi="Times New Roman" w:cs="Times New Roman"/>
                <w:sz w:val="18"/>
                <w:szCs w:val="18"/>
                <w:lang w:val="en-US"/>
              </w:rPr>
              <w:lastRenderedPageBreak/>
              <w:t xml:space="preserve">Table </w:t>
            </w:r>
            <w:r>
              <w:rPr>
                <w:rFonts w:ascii="Times New Roman" w:hAnsi="Times New Roman" w:cs="Times New Roman"/>
                <w:sz w:val="18"/>
                <w:szCs w:val="18"/>
                <w:lang w:val="en-US"/>
              </w:rPr>
              <w:t>2</w:t>
            </w:r>
            <w:r w:rsidRPr="0056612C">
              <w:rPr>
                <w:rFonts w:ascii="Times New Roman" w:hAnsi="Times New Roman" w:cs="Times New Roman"/>
                <w:sz w:val="18"/>
                <w:szCs w:val="18"/>
                <w:lang w:val="en-US"/>
              </w:rPr>
              <w:t xml:space="preserve">. </w:t>
            </w:r>
            <w:r>
              <w:rPr>
                <w:rFonts w:ascii="Times New Roman" w:hAnsi="Times New Roman" w:cs="Times New Roman"/>
                <w:sz w:val="18"/>
                <w:szCs w:val="18"/>
                <w:lang w:val="en-US"/>
              </w:rPr>
              <w:t>Slope, m</w:t>
            </w:r>
            <w:r w:rsidRPr="0056612C">
              <w:rPr>
                <w:rFonts w:ascii="Times New Roman" w:hAnsi="Times New Roman" w:cs="Times New Roman"/>
                <w:sz w:val="18"/>
                <w:szCs w:val="18"/>
                <w:lang w:val="en-US"/>
              </w:rPr>
              <w:t xml:space="preserve">ean difference (95% </w:t>
            </w:r>
            <w:r>
              <w:rPr>
                <w:rFonts w:ascii="Times New Roman" w:hAnsi="Times New Roman" w:cs="Times New Roman"/>
                <w:sz w:val="18"/>
                <w:szCs w:val="18"/>
                <w:lang w:val="en-US"/>
              </w:rPr>
              <w:t>confidence interval</w:t>
            </w:r>
            <w:r w:rsidRPr="0056612C">
              <w:rPr>
                <w:rFonts w:ascii="Times New Roman" w:hAnsi="Times New Roman" w:cs="Times New Roman"/>
                <w:sz w:val="18"/>
                <w:szCs w:val="18"/>
                <w:lang w:val="en-US"/>
              </w:rPr>
              <w:t>), effect size (</w:t>
            </w:r>
            <w:r w:rsidRPr="0056612C">
              <w:rPr>
                <w:rFonts w:ascii="Times New Roman" w:hAnsi="Times New Roman" w:cs="Times New Roman"/>
                <w:i/>
                <w:iCs/>
                <w:sz w:val="18"/>
                <w:szCs w:val="18"/>
                <w:lang w:val="en-US"/>
              </w:rPr>
              <w:t>d</w:t>
            </w:r>
            <w:r w:rsidRPr="0056612C">
              <w:rPr>
                <w:rFonts w:ascii="Times New Roman" w:hAnsi="Times New Roman" w:cs="Times New Roman"/>
                <w:sz w:val="18"/>
                <w:szCs w:val="18"/>
                <w:lang w:val="en-US"/>
              </w:rPr>
              <w:t>) and non-clinical practical inference</w:t>
            </w:r>
            <w:r>
              <w:rPr>
                <w:rFonts w:ascii="Times New Roman" w:hAnsi="Times New Roman" w:cs="Times New Roman"/>
                <w:sz w:val="18"/>
                <w:szCs w:val="18"/>
                <w:lang w:val="en-US"/>
              </w:rPr>
              <w:t>s</w:t>
            </w:r>
            <w:r w:rsidRPr="0056612C">
              <w:rPr>
                <w:rFonts w:ascii="Times New Roman" w:hAnsi="Times New Roman" w:cs="Times New Roman"/>
                <w:sz w:val="18"/>
                <w:szCs w:val="18"/>
                <w:lang w:val="en-US"/>
              </w:rPr>
              <w:t xml:space="preserve"> (probabilities)</w:t>
            </w:r>
            <w:r>
              <w:rPr>
                <w:rFonts w:ascii="Times New Roman" w:hAnsi="Times New Roman" w:cs="Times New Roman"/>
                <w:sz w:val="18"/>
                <w:szCs w:val="18"/>
                <w:lang w:val="en-US"/>
              </w:rPr>
              <w:t xml:space="preserve"> for 5% and 10% increments in PAH</w:t>
            </w:r>
          </w:p>
        </w:tc>
      </w:tr>
      <w:tr w:rsidR="00835C45" w:rsidRPr="0056612C" w14:paraId="50CC8F32" w14:textId="77777777" w:rsidTr="005C2571">
        <w:trPr>
          <w:trHeight w:hRule="exact" w:val="524"/>
          <w:jc w:val="center"/>
        </w:trPr>
        <w:tc>
          <w:tcPr>
            <w:tcW w:w="903" w:type="dxa"/>
            <w:tcBorders>
              <w:top w:val="single" w:sz="4" w:space="0" w:color="auto"/>
              <w:bottom w:val="single" w:sz="4" w:space="0" w:color="auto"/>
            </w:tcBorders>
            <w:vAlign w:val="center"/>
          </w:tcPr>
          <w:p w14:paraId="0F04D2C1"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Variable</w:t>
            </w:r>
          </w:p>
        </w:tc>
        <w:tc>
          <w:tcPr>
            <w:tcW w:w="825" w:type="dxa"/>
            <w:tcBorders>
              <w:top w:val="single" w:sz="4" w:space="0" w:color="auto"/>
              <w:bottom w:val="single" w:sz="4" w:space="0" w:color="auto"/>
            </w:tcBorders>
            <w:vAlign w:val="center"/>
          </w:tcPr>
          <w:p w14:paraId="4715FE32" w14:textId="77777777" w:rsidR="00835C45" w:rsidRDefault="00835C45" w:rsidP="005C2571">
            <w:pPr>
              <w:jc w:val="center"/>
              <w:rPr>
                <w:rFonts w:ascii="Times New Roman" w:hAnsi="Times New Roman" w:cs="Times New Roman"/>
                <w:sz w:val="18"/>
                <w:szCs w:val="18"/>
                <w:lang w:val="en-US"/>
              </w:rPr>
            </w:pPr>
          </w:p>
          <w:p w14:paraId="31C593F7"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w:t>
            </w:r>
            <w:r w:rsidRPr="0056612C">
              <w:rPr>
                <w:rFonts w:ascii="Times New Roman" w:hAnsi="Times New Roman" w:cs="Times New Roman"/>
                <w:sz w:val="18"/>
                <w:szCs w:val="18"/>
                <w:lang w:val="en-US"/>
              </w:rPr>
              <w:t xml:space="preserve">PAH% </w:t>
            </w:r>
          </w:p>
        </w:tc>
        <w:tc>
          <w:tcPr>
            <w:tcW w:w="566" w:type="dxa"/>
            <w:tcBorders>
              <w:top w:val="single" w:sz="4" w:space="0" w:color="auto"/>
              <w:bottom w:val="single" w:sz="4" w:space="0" w:color="auto"/>
            </w:tcBorders>
            <w:vAlign w:val="center"/>
          </w:tcPr>
          <w:p w14:paraId="03CA2F5E" w14:textId="77777777" w:rsidR="00835C45" w:rsidRPr="0056612C" w:rsidRDefault="00835C45" w:rsidP="005C2571">
            <w:pPr>
              <w:jc w:val="center"/>
              <w:rPr>
                <w:rFonts w:ascii="Times New Roman" w:hAnsi="Times New Roman" w:cs="Times New Roman"/>
                <w:i/>
                <w:iCs/>
                <w:sz w:val="18"/>
                <w:szCs w:val="18"/>
                <w:lang w:val="en-US"/>
              </w:rPr>
            </w:pPr>
            <w:proofErr w:type="spellStart"/>
            <w:r w:rsidRPr="0056612C">
              <w:rPr>
                <w:rFonts w:ascii="Times New Roman" w:hAnsi="Times New Roman" w:cs="Times New Roman"/>
                <w:i/>
                <w:iCs/>
                <w:sz w:val="18"/>
                <w:szCs w:val="18"/>
                <w:lang w:val="en-US"/>
              </w:rPr>
              <w:t>df</w:t>
            </w:r>
            <w:proofErr w:type="spellEnd"/>
          </w:p>
        </w:tc>
        <w:tc>
          <w:tcPr>
            <w:tcW w:w="708" w:type="dxa"/>
            <w:tcBorders>
              <w:top w:val="single" w:sz="4" w:space="0" w:color="auto"/>
              <w:bottom w:val="single" w:sz="4" w:space="0" w:color="auto"/>
            </w:tcBorders>
            <w:vAlign w:val="center"/>
          </w:tcPr>
          <w:p w14:paraId="7E87EB4E" w14:textId="77777777" w:rsidR="00835C45" w:rsidRPr="0056612C" w:rsidRDefault="00835C45" w:rsidP="005C2571">
            <w:pPr>
              <w:jc w:val="center"/>
              <w:rPr>
                <w:rFonts w:ascii="Times New Roman" w:hAnsi="Times New Roman" w:cs="Times New Roman"/>
                <w:i/>
                <w:iCs/>
                <w:sz w:val="18"/>
                <w:szCs w:val="18"/>
                <w:lang w:val="en-US"/>
              </w:rPr>
            </w:pPr>
            <w:r w:rsidRPr="0056612C">
              <w:rPr>
                <w:rFonts w:ascii="Times New Roman" w:hAnsi="Times New Roman" w:cs="Times New Roman"/>
                <w:i/>
                <w:iCs/>
                <w:sz w:val="18"/>
                <w:szCs w:val="18"/>
                <w:lang w:val="en-US"/>
              </w:rPr>
              <w:t>t</w:t>
            </w:r>
          </w:p>
        </w:tc>
        <w:tc>
          <w:tcPr>
            <w:tcW w:w="711" w:type="dxa"/>
            <w:tcBorders>
              <w:top w:val="single" w:sz="4" w:space="0" w:color="auto"/>
              <w:bottom w:val="single" w:sz="4" w:space="0" w:color="auto"/>
            </w:tcBorders>
            <w:vAlign w:val="center"/>
          </w:tcPr>
          <w:p w14:paraId="3F5B1E73" w14:textId="77777777" w:rsidR="00835C45" w:rsidRPr="0056612C" w:rsidRDefault="00835C45" w:rsidP="005C2571">
            <w:pPr>
              <w:jc w:val="center"/>
              <w:rPr>
                <w:rFonts w:ascii="Times New Roman" w:hAnsi="Times New Roman" w:cs="Times New Roman"/>
                <w:i/>
                <w:iCs/>
                <w:sz w:val="18"/>
                <w:szCs w:val="18"/>
                <w:lang w:val="en-US"/>
              </w:rPr>
            </w:pPr>
            <w:r w:rsidRPr="0056612C">
              <w:rPr>
                <w:rFonts w:ascii="Times New Roman" w:hAnsi="Times New Roman" w:cs="Times New Roman"/>
                <w:i/>
                <w:iCs/>
                <w:sz w:val="18"/>
                <w:szCs w:val="18"/>
                <w:lang w:val="en-US"/>
              </w:rPr>
              <w:t>P</w:t>
            </w:r>
          </w:p>
        </w:tc>
        <w:tc>
          <w:tcPr>
            <w:tcW w:w="1837" w:type="dxa"/>
            <w:tcBorders>
              <w:top w:val="single" w:sz="4" w:space="0" w:color="auto"/>
              <w:bottom w:val="single" w:sz="4" w:space="0" w:color="auto"/>
            </w:tcBorders>
            <w:vAlign w:val="center"/>
          </w:tcPr>
          <w:p w14:paraId="25ABF938"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Difference (95% CI)</w:t>
            </w:r>
          </w:p>
        </w:tc>
        <w:tc>
          <w:tcPr>
            <w:tcW w:w="567" w:type="dxa"/>
            <w:tcBorders>
              <w:top w:val="single" w:sz="4" w:space="0" w:color="auto"/>
              <w:bottom w:val="single" w:sz="4" w:space="0" w:color="auto"/>
            </w:tcBorders>
            <w:vAlign w:val="center"/>
          </w:tcPr>
          <w:p w14:paraId="5184B235" w14:textId="77777777" w:rsidR="00835C45" w:rsidRPr="0056612C" w:rsidRDefault="00835C45" w:rsidP="005C2571">
            <w:pPr>
              <w:jc w:val="center"/>
              <w:rPr>
                <w:rFonts w:ascii="Times New Roman" w:hAnsi="Times New Roman" w:cs="Times New Roman"/>
                <w:i/>
                <w:iCs/>
                <w:sz w:val="18"/>
                <w:szCs w:val="18"/>
                <w:lang w:val="en-US"/>
              </w:rPr>
            </w:pPr>
            <w:r w:rsidRPr="0056612C">
              <w:rPr>
                <w:rFonts w:ascii="Times New Roman" w:hAnsi="Times New Roman" w:cs="Times New Roman"/>
                <w:i/>
                <w:iCs/>
                <w:sz w:val="18"/>
                <w:szCs w:val="18"/>
                <w:lang w:val="en-US"/>
              </w:rPr>
              <w:t>d</w:t>
            </w:r>
          </w:p>
        </w:tc>
        <w:tc>
          <w:tcPr>
            <w:tcW w:w="3664" w:type="dxa"/>
            <w:tcBorders>
              <w:top w:val="single" w:sz="4" w:space="0" w:color="auto"/>
              <w:bottom w:val="single" w:sz="4" w:space="0" w:color="auto"/>
            </w:tcBorders>
            <w:vAlign w:val="center"/>
          </w:tcPr>
          <w:p w14:paraId="6AB5856D"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Non-clinical inference</w:t>
            </w:r>
          </w:p>
        </w:tc>
      </w:tr>
      <w:tr w:rsidR="00835C45" w:rsidRPr="0056612C" w14:paraId="6F2FE505" w14:textId="77777777" w:rsidTr="005C2571">
        <w:trPr>
          <w:trHeight w:hRule="exact" w:val="340"/>
          <w:jc w:val="center"/>
        </w:trPr>
        <w:tc>
          <w:tcPr>
            <w:tcW w:w="903" w:type="dxa"/>
            <w:vMerge w:val="restart"/>
            <w:tcBorders>
              <w:top w:val="single" w:sz="4" w:space="0" w:color="auto"/>
            </w:tcBorders>
          </w:tcPr>
          <w:p w14:paraId="529E60E2"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sRPE</w:t>
            </w:r>
          </w:p>
        </w:tc>
        <w:tc>
          <w:tcPr>
            <w:tcW w:w="825" w:type="dxa"/>
            <w:tcBorders>
              <w:top w:val="single" w:sz="4" w:space="0" w:color="auto"/>
            </w:tcBorders>
            <w:vAlign w:val="center"/>
          </w:tcPr>
          <w:p w14:paraId="20F79146"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cm/year</w:t>
            </w:r>
          </w:p>
        </w:tc>
        <w:tc>
          <w:tcPr>
            <w:tcW w:w="566" w:type="dxa"/>
            <w:tcBorders>
              <w:top w:val="single" w:sz="4" w:space="0" w:color="auto"/>
            </w:tcBorders>
            <w:vAlign w:val="center"/>
          </w:tcPr>
          <w:p w14:paraId="548CF5BB"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36</w:t>
            </w:r>
          </w:p>
        </w:tc>
        <w:tc>
          <w:tcPr>
            <w:tcW w:w="708" w:type="dxa"/>
            <w:tcBorders>
              <w:top w:val="single" w:sz="4" w:space="0" w:color="auto"/>
            </w:tcBorders>
            <w:vAlign w:val="center"/>
          </w:tcPr>
          <w:p w14:paraId="3EBBF5D4"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5.61</w:t>
            </w:r>
          </w:p>
        </w:tc>
        <w:tc>
          <w:tcPr>
            <w:tcW w:w="711" w:type="dxa"/>
            <w:tcBorders>
              <w:top w:val="single" w:sz="4" w:space="0" w:color="auto"/>
            </w:tcBorders>
            <w:vAlign w:val="center"/>
          </w:tcPr>
          <w:p w14:paraId="4BD29943"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0.115</w:t>
            </w:r>
          </w:p>
        </w:tc>
        <w:tc>
          <w:tcPr>
            <w:tcW w:w="1837" w:type="dxa"/>
            <w:tcBorders>
              <w:top w:val="single" w:sz="4" w:space="0" w:color="auto"/>
            </w:tcBorders>
            <w:vAlign w:val="center"/>
          </w:tcPr>
          <w:p w14:paraId="694E719C"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0.3 (-0.1 to 0.9)</w:t>
            </w:r>
          </w:p>
        </w:tc>
        <w:tc>
          <w:tcPr>
            <w:tcW w:w="567" w:type="dxa"/>
            <w:tcBorders>
              <w:top w:val="single" w:sz="4" w:space="0" w:color="auto"/>
            </w:tcBorders>
            <w:vAlign w:val="center"/>
          </w:tcPr>
          <w:p w14:paraId="01695873"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0.02</w:t>
            </w:r>
          </w:p>
        </w:tc>
        <w:tc>
          <w:tcPr>
            <w:tcW w:w="3664" w:type="dxa"/>
            <w:tcBorders>
              <w:top w:val="single" w:sz="4" w:space="0" w:color="auto"/>
            </w:tcBorders>
            <w:vAlign w:val="center"/>
          </w:tcPr>
          <w:p w14:paraId="4172E109" w14:textId="77777777" w:rsidR="00835C45" w:rsidRPr="0056612C" w:rsidRDefault="00835C45" w:rsidP="005C2571">
            <w:pPr>
              <w:jc w:val="center"/>
              <w:rPr>
                <w:rFonts w:ascii="Times New Roman" w:hAnsi="Times New Roman" w:cs="Times New Roman"/>
                <w:i/>
                <w:iCs/>
                <w:sz w:val="18"/>
                <w:szCs w:val="18"/>
                <w:lang w:val="en-US"/>
              </w:rPr>
            </w:pPr>
            <w:r w:rsidRPr="0056612C">
              <w:rPr>
                <w:rFonts w:ascii="Times New Roman" w:hAnsi="Times New Roman" w:cs="Times New Roman"/>
                <w:i/>
                <w:iCs/>
                <w:sz w:val="18"/>
                <w:szCs w:val="18"/>
                <w:lang w:val="en-US"/>
              </w:rPr>
              <w:t>Most likely trivial (0/100/0)</w:t>
            </w:r>
          </w:p>
        </w:tc>
      </w:tr>
      <w:tr w:rsidR="00835C45" w:rsidRPr="0056612C" w14:paraId="36799016" w14:textId="77777777" w:rsidTr="005C2571">
        <w:trPr>
          <w:trHeight w:hRule="exact" w:val="340"/>
          <w:jc w:val="center"/>
        </w:trPr>
        <w:tc>
          <w:tcPr>
            <w:tcW w:w="903" w:type="dxa"/>
            <w:vMerge/>
          </w:tcPr>
          <w:p w14:paraId="1B71D273" w14:textId="77777777" w:rsidR="00835C45" w:rsidRPr="0056612C" w:rsidRDefault="00835C45" w:rsidP="005C2571">
            <w:pPr>
              <w:jc w:val="center"/>
              <w:rPr>
                <w:rFonts w:ascii="Times New Roman" w:hAnsi="Times New Roman" w:cs="Times New Roman"/>
                <w:sz w:val="18"/>
                <w:szCs w:val="18"/>
                <w:lang w:val="en-US"/>
              </w:rPr>
            </w:pPr>
          </w:p>
        </w:tc>
        <w:tc>
          <w:tcPr>
            <w:tcW w:w="825" w:type="dxa"/>
            <w:vAlign w:val="center"/>
          </w:tcPr>
          <w:p w14:paraId="78A35353"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5%</w:t>
            </w:r>
          </w:p>
        </w:tc>
        <w:tc>
          <w:tcPr>
            <w:tcW w:w="566" w:type="dxa"/>
            <w:vAlign w:val="center"/>
          </w:tcPr>
          <w:p w14:paraId="2CC09748"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65</w:t>
            </w:r>
          </w:p>
        </w:tc>
        <w:tc>
          <w:tcPr>
            <w:tcW w:w="708" w:type="dxa"/>
            <w:vAlign w:val="center"/>
          </w:tcPr>
          <w:p w14:paraId="73787002"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-3.33</w:t>
            </w:r>
          </w:p>
        </w:tc>
        <w:tc>
          <w:tcPr>
            <w:tcW w:w="711" w:type="dxa"/>
            <w:vAlign w:val="center"/>
          </w:tcPr>
          <w:p w14:paraId="6E6DE82C"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0.002</w:t>
            </w:r>
            <w:r>
              <w:rPr>
                <w:rFonts w:ascii="Times New Roman" w:hAnsi="Times New Roman" w:cs="Times New Roman"/>
                <w:sz w:val="18"/>
                <w:szCs w:val="18"/>
                <w:lang w:val="en-US"/>
              </w:rPr>
              <w:t>*</w:t>
            </w:r>
          </w:p>
        </w:tc>
        <w:tc>
          <w:tcPr>
            <w:tcW w:w="1837" w:type="dxa"/>
            <w:vAlign w:val="center"/>
          </w:tcPr>
          <w:p w14:paraId="0970CC1C"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-6.9 (-11.1 to -2.7)</w:t>
            </w:r>
          </w:p>
        </w:tc>
        <w:tc>
          <w:tcPr>
            <w:tcW w:w="567" w:type="dxa"/>
            <w:vAlign w:val="center"/>
          </w:tcPr>
          <w:p w14:paraId="475305D8"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0.75</w:t>
            </w:r>
          </w:p>
        </w:tc>
        <w:tc>
          <w:tcPr>
            <w:tcW w:w="3664" w:type="dxa"/>
            <w:vAlign w:val="center"/>
          </w:tcPr>
          <w:p w14:paraId="571407BC" w14:textId="77777777" w:rsidR="00835C45" w:rsidRPr="0056612C" w:rsidRDefault="00835C45" w:rsidP="005C2571">
            <w:pPr>
              <w:jc w:val="center"/>
              <w:rPr>
                <w:rFonts w:ascii="Times New Roman" w:hAnsi="Times New Roman" w:cs="Times New Roman"/>
                <w:i/>
                <w:iCs/>
                <w:sz w:val="18"/>
                <w:szCs w:val="18"/>
                <w:lang w:val="en-US"/>
              </w:rPr>
            </w:pPr>
            <w:r w:rsidRPr="0056612C">
              <w:rPr>
                <w:rFonts w:ascii="Times New Roman" w:hAnsi="Times New Roman" w:cs="Times New Roman"/>
                <w:i/>
                <w:iCs/>
                <w:sz w:val="18"/>
                <w:szCs w:val="18"/>
                <w:lang w:val="en-US"/>
              </w:rPr>
              <w:t>Likely trivial (0/71/29)</w:t>
            </w:r>
          </w:p>
        </w:tc>
      </w:tr>
      <w:tr w:rsidR="00835C45" w:rsidRPr="0056612C" w14:paraId="69B93B00" w14:textId="77777777" w:rsidTr="005C2571">
        <w:trPr>
          <w:trHeight w:hRule="exact" w:val="340"/>
          <w:jc w:val="center"/>
        </w:trPr>
        <w:tc>
          <w:tcPr>
            <w:tcW w:w="903" w:type="dxa"/>
            <w:vMerge/>
          </w:tcPr>
          <w:p w14:paraId="70997F32" w14:textId="77777777" w:rsidR="00835C45" w:rsidRPr="0056612C" w:rsidRDefault="00835C45" w:rsidP="005C2571">
            <w:pPr>
              <w:jc w:val="center"/>
              <w:rPr>
                <w:rFonts w:ascii="Times New Roman" w:hAnsi="Times New Roman" w:cs="Times New Roman"/>
                <w:sz w:val="18"/>
                <w:szCs w:val="18"/>
                <w:lang w:val="en-US"/>
              </w:rPr>
            </w:pPr>
          </w:p>
        </w:tc>
        <w:tc>
          <w:tcPr>
            <w:tcW w:w="825" w:type="dxa"/>
            <w:vAlign w:val="center"/>
          </w:tcPr>
          <w:p w14:paraId="4BB18DE2"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10%</w:t>
            </w:r>
          </w:p>
        </w:tc>
        <w:tc>
          <w:tcPr>
            <w:tcW w:w="566" w:type="dxa"/>
            <w:vAlign w:val="center"/>
          </w:tcPr>
          <w:p w14:paraId="759D0684"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51</w:t>
            </w:r>
          </w:p>
        </w:tc>
        <w:tc>
          <w:tcPr>
            <w:tcW w:w="708" w:type="dxa"/>
            <w:vAlign w:val="center"/>
          </w:tcPr>
          <w:p w14:paraId="240FF9FB"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-3.33</w:t>
            </w:r>
          </w:p>
        </w:tc>
        <w:tc>
          <w:tcPr>
            <w:tcW w:w="711" w:type="dxa"/>
            <w:vAlign w:val="center"/>
          </w:tcPr>
          <w:p w14:paraId="13F5C7C3"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0.002</w:t>
            </w:r>
            <w:r>
              <w:rPr>
                <w:rFonts w:ascii="Times New Roman" w:hAnsi="Times New Roman" w:cs="Times New Roman"/>
                <w:sz w:val="18"/>
                <w:szCs w:val="18"/>
                <w:lang w:val="en-US"/>
              </w:rPr>
              <w:t>*</w:t>
            </w:r>
          </w:p>
        </w:tc>
        <w:tc>
          <w:tcPr>
            <w:tcW w:w="1837" w:type="dxa"/>
            <w:vAlign w:val="center"/>
          </w:tcPr>
          <w:p w14:paraId="56FD3272"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-13.9 (-22.3 to -5.5)</w:t>
            </w:r>
          </w:p>
        </w:tc>
        <w:tc>
          <w:tcPr>
            <w:tcW w:w="567" w:type="dxa"/>
            <w:vAlign w:val="center"/>
          </w:tcPr>
          <w:p w14:paraId="4A851881"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1.01</w:t>
            </w:r>
          </w:p>
        </w:tc>
        <w:tc>
          <w:tcPr>
            <w:tcW w:w="3664" w:type="dxa"/>
            <w:vAlign w:val="center"/>
          </w:tcPr>
          <w:p w14:paraId="6F09E593" w14:textId="77777777" w:rsidR="00835C45" w:rsidRPr="0056612C" w:rsidRDefault="00835C45" w:rsidP="005C2571">
            <w:pPr>
              <w:jc w:val="center"/>
              <w:rPr>
                <w:rFonts w:ascii="Times New Roman" w:hAnsi="Times New Roman" w:cs="Times New Roman"/>
                <w:b/>
                <w:bCs/>
                <w:i/>
                <w:iCs/>
                <w:sz w:val="18"/>
                <w:szCs w:val="18"/>
                <w:lang w:val="en-US"/>
              </w:rPr>
            </w:pPr>
            <w:r w:rsidRPr="0056612C">
              <w:rPr>
                <w:rFonts w:ascii="Times New Roman" w:hAnsi="Times New Roman" w:cs="Times New Roman"/>
                <w:b/>
                <w:bCs/>
                <w:i/>
                <w:iCs/>
                <w:sz w:val="18"/>
                <w:szCs w:val="18"/>
                <w:lang w:val="en-US"/>
              </w:rPr>
              <w:t>More mature likely lower (0/7/93)</w:t>
            </w:r>
          </w:p>
        </w:tc>
      </w:tr>
      <w:tr w:rsidR="00835C45" w:rsidRPr="0056612C" w14:paraId="138CB1A7" w14:textId="77777777" w:rsidTr="005C2571">
        <w:trPr>
          <w:trHeight w:hRule="exact" w:val="340"/>
          <w:jc w:val="center"/>
        </w:trPr>
        <w:tc>
          <w:tcPr>
            <w:tcW w:w="903" w:type="dxa"/>
            <w:vMerge w:val="restart"/>
          </w:tcPr>
          <w:p w14:paraId="02195FEC"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RPE-B</w:t>
            </w:r>
          </w:p>
        </w:tc>
        <w:tc>
          <w:tcPr>
            <w:tcW w:w="825" w:type="dxa"/>
            <w:vAlign w:val="center"/>
          </w:tcPr>
          <w:p w14:paraId="228189F2"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cm/year</w:t>
            </w:r>
          </w:p>
        </w:tc>
        <w:tc>
          <w:tcPr>
            <w:tcW w:w="566" w:type="dxa"/>
            <w:vAlign w:val="center"/>
          </w:tcPr>
          <w:p w14:paraId="5E95DF02"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15</w:t>
            </w:r>
          </w:p>
        </w:tc>
        <w:tc>
          <w:tcPr>
            <w:tcW w:w="708" w:type="dxa"/>
            <w:vAlign w:val="center"/>
          </w:tcPr>
          <w:p w14:paraId="36993541"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1.41</w:t>
            </w:r>
          </w:p>
        </w:tc>
        <w:tc>
          <w:tcPr>
            <w:tcW w:w="711" w:type="dxa"/>
            <w:vAlign w:val="center"/>
          </w:tcPr>
          <w:p w14:paraId="2E9CDD2D"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0.182</w:t>
            </w:r>
          </w:p>
        </w:tc>
        <w:tc>
          <w:tcPr>
            <w:tcW w:w="1837" w:type="dxa"/>
            <w:vAlign w:val="center"/>
          </w:tcPr>
          <w:p w14:paraId="52DDC3AA"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0.4 (-0.2 to 1.0)</w:t>
            </w:r>
          </w:p>
        </w:tc>
        <w:tc>
          <w:tcPr>
            <w:tcW w:w="567" w:type="dxa"/>
            <w:vAlign w:val="center"/>
          </w:tcPr>
          <w:p w14:paraId="20A83311"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0.03</w:t>
            </w:r>
          </w:p>
        </w:tc>
        <w:tc>
          <w:tcPr>
            <w:tcW w:w="3664" w:type="dxa"/>
            <w:vAlign w:val="center"/>
          </w:tcPr>
          <w:p w14:paraId="6FBBD2A3" w14:textId="77777777" w:rsidR="00835C45" w:rsidRPr="0056612C" w:rsidRDefault="00835C45" w:rsidP="005C2571">
            <w:pPr>
              <w:jc w:val="center"/>
              <w:rPr>
                <w:rFonts w:ascii="Times New Roman" w:hAnsi="Times New Roman" w:cs="Times New Roman"/>
                <w:i/>
                <w:iCs/>
                <w:sz w:val="18"/>
                <w:szCs w:val="18"/>
                <w:lang w:val="en-US"/>
              </w:rPr>
            </w:pPr>
            <w:r w:rsidRPr="0056612C">
              <w:rPr>
                <w:rFonts w:ascii="Times New Roman" w:hAnsi="Times New Roman" w:cs="Times New Roman"/>
                <w:i/>
                <w:iCs/>
                <w:sz w:val="18"/>
                <w:szCs w:val="18"/>
                <w:lang w:val="en-US"/>
              </w:rPr>
              <w:t>Most likely trivial (0/100/0)</w:t>
            </w:r>
          </w:p>
        </w:tc>
      </w:tr>
      <w:tr w:rsidR="00835C45" w:rsidRPr="0056612C" w14:paraId="7331B6E8" w14:textId="77777777" w:rsidTr="005C2571">
        <w:trPr>
          <w:trHeight w:hRule="exact" w:val="340"/>
          <w:jc w:val="center"/>
        </w:trPr>
        <w:tc>
          <w:tcPr>
            <w:tcW w:w="903" w:type="dxa"/>
            <w:vMerge/>
          </w:tcPr>
          <w:p w14:paraId="1787FFA7" w14:textId="77777777" w:rsidR="00835C45" w:rsidRPr="0056612C" w:rsidRDefault="00835C45" w:rsidP="005C2571">
            <w:pPr>
              <w:jc w:val="center"/>
              <w:rPr>
                <w:rFonts w:ascii="Times New Roman" w:hAnsi="Times New Roman" w:cs="Times New Roman"/>
                <w:sz w:val="18"/>
                <w:szCs w:val="18"/>
                <w:lang w:val="en-US"/>
              </w:rPr>
            </w:pPr>
          </w:p>
        </w:tc>
        <w:tc>
          <w:tcPr>
            <w:tcW w:w="825" w:type="dxa"/>
            <w:vAlign w:val="center"/>
          </w:tcPr>
          <w:p w14:paraId="5767750B"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5%</w:t>
            </w:r>
          </w:p>
        </w:tc>
        <w:tc>
          <w:tcPr>
            <w:tcW w:w="566" w:type="dxa"/>
            <w:vAlign w:val="center"/>
          </w:tcPr>
          <w:p w14:paraId="37021CDC"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30</w:t>
            </w:r>
          </w:p>
        </w:tc>
        <w:tc>
          <w:tcPr>
            <w:tcW w:w="708" w:type="dxa"/>
            <w:vAlign w:val="center"/>
          </w:tcPr>
          <w:p w14:paraId="6719F30B"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0.81</w:t>
            </w:r>
          </w:p>
        </w:tc>
        <w:tc>
          <w:tcPr>
            <w:tcW w:w="711" w:type="dxa"/>
            <w:vAlign w:val="center"/>
          </w:tcPr>
          <w:p w14:paraId="698DE601"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0.423</w:t>
            </w:r>
          </w:p>
        </w:tc>
        <w:tc>
          <w:tcPr>
            <w:tcW w:w="1837" w:type="dxa"/>
            <w:vAlign w:val="center"/>
          </w:tcPr>
          <w:p w14:paraId="03BD9B9E"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1.3 (-1.9 to 4.5)</w:t>
            </w:r>
          </w:p>
        </w:tc>
        <w:tc>
          <w:tcPr>
            <w:tcW w:w="567" w:type="dxa"/>
            <w:vAlign w:val="center"/>
          </w:tcPr>
          <w:p w14:paraId="1C07BB6A"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0.24</w:t>
            </w:r>
          </w:p>
        </w:tc>
        <w:tc>
          <w:tcPr>
            <w:tcW w:w="3664" w:type="dxa"/>
            <w:vAlign w:val="center"/>
          </w:tcPr>
          <w:p w14:paraId="6FADA221" w14:textId="77777777" w:rsidR="00835C45" w:rsidRPr="0056612C" w:rsidRDefault="00835C45" w:rsidP="005C2571">
            <w:pPr>
              <w:jc w:val="center"/>
              <w:rPr>
                <w:rFonts w:ascii="Times New Roman" w:hAnsi="Times New Roman" w:cs="Times New Roman"/>
                <w:i/>
                <w:iCs/>
                <w:sz w:val="18"/>
                <w:szCs w:val="18"/>
                <w:lang w:val="en-US"/>
              </w:rPr>
            </w:pPr>
            <w:r w:rsidRPr="0056612C">
              <w:rPr>
                <w:rFonts w:ascii="Times New Roman" w:hAnsi="Times New Roman" w:cs="Times New Roman"/>
                <w:i/>
                <w:iCs/>
                <w:sz w:val="18"/>
                <w:szCs w:val="18"/>
                <w:lang w:val="en-US"/>
              </w:rPr>
              <w:t>Most likely trivial (0/100/0)</w:t>
            </w:r>
          </w:p>
        </w:tc>
      </w:tr>
      <w:tr w:rsidR="00835C45" w:rsidRPr="0056612C" w14:paraId="11A63DD6" w14:textId="77777777" w:rsidTr="005C2571">
        <w:trPr>
          <w:trHeight w:hRule="exact" w:val="340"/>
          <w:jc w:val="center"/>
        </w:trPr>
        <w:tc>
          <w:tcPr>
            <w:tcW w:w="903" w:type="dxa"/>
            <w:vMerge/>
          </w:tcPr>
          <w:p w14:paraId="5542EA46" w14:textId="77777777" w:rsidR="00835C45" w:rsidRPr="0056612C" w:rsidRDefault="00835C45" w:rsidP="005C2571">
            <w:pPr>
              <w:jc w:val="center"/>
              <w:rPr>
                <w:rFonts w:ascii="Times New Roman" w:hAnsi="Times New Roman" w:cs="Times New Roman"/>
                <w:sz w:val="18"/>
                <w:szCs w:val="18"/>
                <w:lang w:val="en-US"/>
              </w:rPr>
            </w:pPr>
          </w:p>
        </w:tc>
        <w:tc>
          <w:tcPr>
            <w:tcW w:w="825" w:type="dxa"/>
            <w:vAlign w:val="center"/>
          </w:tcPr>
          <w:p w14:paraId="03227359"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10%</w:t>
            </w:r>
          </w:p>
        </w:tc>
        <w:tc>
          <w:tcPr>
            <w:tcW w:w="566" w:type="dxa"/>
            <w:vAlign w:val="center"/>
          </w:tcPr>
          <w:p w14:paraId="5BAFD0BB"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30</w:t>
            </w:r>
          </w:p>
        </w:tc>
        <w:tc>
          <w:tcPr>
            <w:tcW w:w="708" w:type="dxa"/>
            <w:vAlign w:val="center"/>
          </w:tcPr>
          <w:p w14:paraId="02E78702"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0.81</w:t>
            </w:r>
          </w:p>
        </w:tc>
        <w:tc>
          <w:tcPr>
            <w:tcW w:w="711" w:type="dxa"/>
            <w:vAlign w:val="center"/>
          </w:tcPr>
          <w:p w14:paraId="0732FF84"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0.423</w:t>
            </w:r>
          </w:p>
        </w:tc>
        <w:tc>
          <w:tcPr>
            <w:tcW w:w="1837" w:type="dxa"/>
            <w:vAlign w:val="center"/>
          </w:tcPr>
          <w:p w14:paraId="4A812FBD"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2.6 (-3.9 to 9.1)</w:t>
            </w:r>
          </w:p>
        </w:tc>
        <w:tc>
          <w:tcPr>
            <w:tcW w:w="567" w:type="dxa"/>
            <w:vAlign w:val="center"/>
          </w:tcPr>
          <w:p w14:paraId="59114CC0"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0.42</w:t>
            </w:r>
          </w:p>
        </w:tc>
        <w:tc>
          <w:tcPr>
            <w:tcW w:w="3664" w:type="dxa"/>
            <w:vAlign w:val="center"/>
          </w:tcPr>
          <w:p w14:paraId="07BA5046" w14:textId="77777777" w:rsidR="00835C45" w:rsidRPr="0056612C" w:rsidRDefault="00835C45" w:rsidP="005C2571">
            <w:pPr>
              <w:jc w:val="center"/>
              <w:rPr>
                <w:rFonts w:ascii="Times New Roman" w:hAnsi="Times New Roman" w:cs="Times New Roman"/>
                <w:i/>
                <w:iCs/>
                <w:sz w:val="18"/>
                <w:szCs w:val="18"/>
                <w:lang w:val="en-US"/>
              </w:rPr>
            </w:pPr>
            <w:r w:rsidRPr="0056612C">
              <w:rPr>
                <w:rFonts w:ascii="Times New Roman" w:hAnsi="Times New Roman" w:cs="Times New Roman"/>
                <w:i/>
                <w:iCs/>
                <w:sz w:val="18"/>
                <w:szCs w:val="18"/>
                <w:lang w:val="en-US"/>
              </w:rPr>
              <w:t>Very likely trivial (5/95/0)</w:t>
            </w:r>
          </w:p>
        </w:tc>
      </w:tr>
      <w:tr w:rsidR="00835C45" w:rsidRPr="0056612C" w14:paraId="649A0677" w14:textId="77777777" w:rsidTr="005C2571">
        <w:trPr>
          <w:trHeight w:hRule="exact" w:val="340"/>
          <w:jc w:val="center"/>
        </w:trPr>
        <w:tc>
          <w:tcPr>
            <w:tcW w:w="903" w:type="dxa"/>
          </w:tcPr>
          <w:p w14:paraId="319EFB42"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RPE-L</w:t>
            </w:r>
          </w:p>
        </w:tc>
        <w:tc>
          <w:tcPr>
            <w:tcW w:w="825" w:type="dxa"/>
            <w:vAlign w:val="center"/>
          </w:tcPr>
          <w:p w14:paraId="3B19D583"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cm/year</w:t>
            </w:r>
          </w:p>
        </w:tc>
        <w:tc>
          <w:tcPr>
            <w:tcW w:w="566" w:type="dxa"/>
            <w:vAlign w:val="center"/>
          </w:tcPr>
          <w:p w14:paraId="6920E7D1"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18</w:t>
            </w:r>
          </w:p>
        </w:tc>
        <w:tc>
          <w:tcPr>
            <w:tcW w:w="708" w:type="dxa"/>
            <w:vAlign w:val="center"/>
          </w:tcPr>
          <w:p w14:paraId="2E6A25FA"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0.52</w:t>
            </w:r>
          </w:p>
        </w:tc>
        <w:tc>
          <w:tcPr>
            <w:tcW w:w="711" w:type="dxa"/>
            <w:vAlign w:val="center"/>
          </w:tcPr>
          <w:p w14:paraId="393FB49F"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0.606</w:t>
            </w:r>
          </w:p>
        </w:tc>
        <w:tc>
          <w:tcPr>
            <w:tcW w:w="1837" w:type="dxa"/>
            <w:vAlign w:val="center"/>
          </w:tcPr>
          <w:p w14:paraId="5C011891"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0.2 (-0.5 to 0.8)</w:t>
            </w:r>
          </w:p>
        </w:tc>
        <w:tc>
          <w:tcPr>
            <w:tcW w:w="567" w:type="dxa"/>
            <w:vAlign w:val="center"/>
          </w:tcPr>
          <w:p w14:paraId="31186697"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0.01</w:t>
            </w:r>
          </w:p>
        </w:tc>
        <w:tc>
          <w:tcPr>
            <w:tcW w:w="3664" w:type="dxa"/>
            <w:vAlign w:val="center"/>
          </w:tcPr>
          <w:p w14:paraId="1024889F" w14:textId="77777777" w:rsidR="00835C45" w:rsidRPr="0056612C" w:rsidRDefault="00835C45" w:rsidP="005C2571">
            <w:pPr>
              <w:jc w:val="center"/>
              <w:rPr>
                <w:rFonts w:ascii="Times New Roman" w:hAnsi="Times New Roman" w:cs="Times New Roman"/>
                <w:i/>
                <w:iCs/>
                <w:sz w:val="18"/>
                <w:szCs w:val="18"/>
                <w:lang w:val="en-US"/>
              </w:rPr>
            </w:pPr>
            <w:r w:rsidRPr="0056612C">
              <w:rPr>
                <w:rFonts w:ascii="Times New Roman" w:hAnsi="Times New Roman" w:cs="Times New Roman"/>
                <w:i/>
                <w:iCs/>
                <w:sz w:val="18"/>
                <w:szCs w:val="18"/>
                <w:lang w:val="en-US"/>
              </w:rPr>
              <w:t>Most likely trivial (0/100/0)</w:t>
            </w:r>
          </w:p>
        </w:tc>
      </w:tr>
      <w:tr w:rsidR="00835C45" w:rsidRPr="0056612C" w14:paraId="69DD0FD7" w14:textId="77777777" w:rsidTr="005C2571">
        <w:trPr>
          <w:trHeight w:hRule="exact" w:val="340"/>
          <w:jc w:val="center"/>
        </w:trPr>
        <w:tc>
          <w:tcPr>
            <w:tcW w:w="903" w:type="dxa"/>
            <w:vMerge w:val="restart"/>
          </w:tcPr>
          <w:p w14:paraId="03F6E0BF" w14:textId="77777777" w:rsidR="00835C45" w:rsidRPr="0056612C" w:rsidRDefault="00835C45" w:rsidP="005C2571">
            <w:pPr>
              <w:jc w:val="center"/>
              <w:rPr>
                <w:rFonts w:ascii="Times New Roman" w:hAnsi="Times New Roman" w:cs="Times New Roman"/>
                <w:sz w:val="18"/>
                <w:szCs w:val="18"/>
                <w:lang w:val="en-US"/>
              </w:rPr>
            </w:pPr>
          </w:p>
        </w:tc>
        <w:tc>
          <w:tcPr>
            <w:tcW w:w="825" w:type="dxa"/>
            <w:vAlign w:val="center"/>
          </w:tcPr>
          <w:p w14:paraId="3118A6E0"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5%</w:t>
            </w:r>
          </w:p>
        </w:tc>
        <w:tc>
          <w:tcPr>
            <w:tcW w:w="566" w:type="dxa"/>
            <w:vAlign w:val="center"/>
          </w:tcPr>
          <w:p w14:paraId="19C6AEA7"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23</w:t>
            </w:r>
          </w:p>
        </w:tc>
        <w:tc>
          <w:tcPr>
            <w:tcW w:w="708" w:type="dxa"/>
            <w:vAlign w:val="center"/>
          </w:tcPr>
          <w:p w14:paraId="7626F6E2"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-0.31</w:t>
            </w:r>
          </w:p>
        </w:tc>
        <w:tc>
          <w:tcPr>
            <w:tcW w:w="711" w:type="dxa"/>
            <w:vAlign w:val="center"/>
          </w:tcPr>
          <w:p w14:paraId="4FDA4179"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0.755</w:t>
            </w:r>
          </w:p>
        </w:tc>
        <w:tc>
          <w:tcPr>
            <w:tcW w:w="1837" w:type="dxa"/>
            <w:vAlign w:val="center"/>
          </w:tcPr>
          <w:p w14:paraId="030EA517"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-0.6 (-4.5 to 3.3)</w:t>
            </w:r>
          </w:p>
        </w:tc>
        <w:tc>
          <w:tcPr>
            <w:tcW w:w="567" w:type="dxa"/>
            <w:vAlign w:val="center"/>
          </w:tcPr>
          <w:p w14:paraId="63E00692"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0.10</w:t>
            </w:r>
          </w:p>
        </w:tc>
        <w:tc>
          <w:tcPr>
            <w:tcW w:w="3664" w:type="dxa"/>
            <w:vAlign w:val="center"/>
          </w:tcPr>
          <w:p w14:paraId="2468F71E" w14:textId="77777777" w:rsidR="00835C45" w:rsidRPr="0056612C" w:rsidRDefault="00835C45" w:rsidP="005C2571">
            <w:pPr>
              <w:jc w:val="center"/>
              <w:rPr>
                <w:rFonts w:ascii="Times New Roman" w:hAnsi="Times New Roman" w:cs="Times New Roman"/>
                <w:i/>
                <w:iCs/>
                <w:sz w:val="18"/>
                <w:szCs w:val="18"/>
                <w:lang w:val="en-US"/>
              </w:rPr>
            </w:pPr>
            <w:r w:rsidRPr="0056612C">
              <w:rPr>
                <w:rFonts w:ascii="Times New Roman" w:hAnsi="Times New Roman" w:cs="Times New Roman"/>
                <w:i/>
                <w:iCs/>
                <w:sz w:val="18"/>
                <w:szCs w:val="18"/>
                <w:lang w:val="en-US"/>
              </w:rPr>
              <w:t>Most likely trivial (0/100/0)</w:t>
            </w:r>
          </w:p>
        </w:tc>
      </w:tr>
      <w:tr w:rsidR="00835C45" w:rsidRPr="0056612C" w14:paraId="044BF101" w14:textId="77777777" w:rsidTr="005C2571">
        <w:trPr>
          <w:trHeight w:hRule="exact" w:val="340"/>
          <w:jc w:val="center"/>
        </w:trPr>
        <w:tc>
          <w:tcPr>
            <w:tcW w:w="903" w:type="dxa"/>
            <w:vMerge/>
          </w:tcPr>
          <w:p w14:paraId="60B5920E" w14:textId="77777777" w:rsidR="00835C45" w:rsidRPr="0056612C" w:rsidRDefault="00835C45" w:rsidP="005C2571">
            <w:pPr>
              <w:jc w:val="center"/>
              <w:rPr>
                <w:rFonts w:ascii="Times New Roman" w:hAnsi="Times New Roman" w:cs="Times New Roman"/>
                <w:sz w:val="18"/>
                <w:szCs w:val="18"/>
                <w:lang w:val="en-US"/>
              </w:rPr>
            </w:pPr>
          </w:p>
        </w:tc>
        <w:tc>
          <w:tcPr>
            <w:tcW w:w="825" w:type="dxa"/>
            <w:vAlign w:val="center"/>
          </w:tcPr>
          <w:p w14:paraId="30B112F5"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10%</w:t>
            </w:r>
          </w:p>
        </w:tc>
        <w:tc>
          <w:tcPr>
            <w:tcW w:w="566" w:type="dxa"/>
            <w:vAlign w:val="center"/>
          </w:tcPr>
          <w:p w14:paraId="1430FBC0"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23</w:t>
            </w:r>
          </w:p>
        </w:tc>
        <w:tc>
          <w:tcPr>
            <w:tcW w:w="708" w:type="dxa"/>
            <w:vAlign w:val="center"/>
          </w:tcPr>
          <w:p w14:paraId="3636B7D0"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-0.31</w:t>
            </w:r>
          </w:p>
        </w:tc>
        <w:tc>
          <w:tcPr>
            <w:tcW w:w="711" w:type="dxa"/>
            <w:vAlign w:val="center"/>
          </w:tcPr>
          <w:p w14:paraId="6C366FD7"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0.755</w:t>
            </w:r>
          </w:p>
        </w:tc>
        <w:tc>
          <w:tcPr>
            <w:tcW w:w="1837" w:type="dxa"/>
            <w:vAlign w:val="center"/>
          </w:tcPr>
          <w:p w14:paraId="7F6D7DAB"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-1.2 (</w:t>
            </w:r>
            <w:r>
              <w:rPr>
                <w:rFonts w:ascii="Times New Roman" w:hAnsi="Times New Roman" w:cs="Times New Roman"/>
                <w:sz w:val="18"/>
                <w:szCs w:val="18"/>
                <w:lang w:val="en-US"/>
              </w:rPr>
              <w:t>-</w:t>
            </w:r>
            <w:r w:rsidRPr="0056612C">
              <w:rPr>
                <w:rFonts w:ascii="Times New Roman" w:hAnsi="Times New Roman" w:cs="Times New Roman"/>
                <w:sz w:val="18"/>
                <w:szCs w:val="18"/>
                <w:lang w:val="en-US"/>
              </w:rPr>
              <w:t>9.1 to 6.7)</w:t>
            </w:r>
          </w:p>
        </w:tc>
        <w:tc>
          <w:tcPr>
            <w:tcW w:w="567" w:type="dxa"/>
            <w:vAlign w:val="center"/>
          </w:tcPr>
          <w:p w14:paraId="267AFEFC"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0.13</w:t>
            </w:r>
          </w:p>
        </w:tc>
        <w:tc>
          <w:tcPr>
            <w:tcW w:w="3664" w:type="dxa"/>
            <w:vAlign w:val="center"/>
          </w:tcPr>
          <w:p w14:paraId="5794D8BF" w14:textId="77777777" w:rsidR="00835C45" w:rsidRPr="0056612C" w:rsidRDefault="00835C45" w:rsidP="005C2571">
            <w:pPr>
              <w:jc w:val="center"/>
              <w:rPr>
                <w:rFonts w:ascii="Times New Roman" w:hAnsi="Times New Roman" w:cs="Times New Roman"/>
                <w:i/>
                <w:iCs/>
                <w:sz w:val="18"/>
                <w:szCs w:val="18"/>
                <w:lang w:val="en-US"/>
              </w:rPr>
            </w:pPr>
            <w:r w:rsidRPr="0056612C">
              <w:rPr>
                <w:rFonts w:ascii="Times New Roman" w:hAnsi="Times New Roman" w:cs="Times New Roman"/>
                <w:i/>
                <w:iCs/>
                <w:sz w:val="18"/>
                <w:szCs w:val="18"/>
                <w:lang w:val="en-US"/>
              </w:rPr>
              <w:t>Very likely trivial (1/95/4)</w:t>
            </w:r>
          </w:p>
        </w:tc>
      </w:tr>
      <w:tr w:rsidR="00835C45" w:rsidRPr="0056612C" w14:paraId="1C0488C1" w14:textId="77777777" w:rsidTr="005C2571">
        <w:trPr>
          <w:trHeight w:hRule="exact" w:val="340"/>
          <w:jc w:val="center"/>
        </w:trPr>
        <w:tc>
          <w:tcPr>
            <w:tcW w:w="903" w:type="dxa"/>
          </w:tcPr>
          <w:p w14:paraId="70697021"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RPE-T</w:t>
            </w:r>
          </w:p>
        </w:tc>
        <w:tc>
          <w:tcPr>
            <w:tcW w:w="825" w:type="dxa"/>
            <w:vAlign w:val="center"/>
          </w:tcPr>
          <w:p w14:paraId="17FF87BE"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cm/year</w:t>
            </w:r>
          </w:p>
        </w:tc>
        <w:tc>
          <w:tcPr>
            <w:tcW w:w="566" w:type="dxa"/>
            <w:vAlign w:val="center"/>
          </w:tcPr>
          <w:p w14:paraId="41075146"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64</w:t>
            </w:r>
          </w:p>
        </w:tc>
        <w:tc>
          <w:tcPr>
            <w:tcW w:w="708" w:type="dxa"/>
            <w:vAlign w:val="center"/>
          </w:tcPr>
          <w:p w14:paraId="50C5CEAF"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1.31</w:t>
            </w:r>
          </w:p>
        </w:tc>
        <w:tc>
          <w:tcPr>
            <w:tcW w:w="711" w:type="dxa"/>
            <w:vAlign w:val="center"/>
          </w:tcPr>
          <w:p w14:paraId="4F96EAC3"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0.192</w:t>
            </w:r>
          </w:p>
        </w:tc>
        <w:tc>
          <w:tcPr>
            <w:tcW w:w="1837" w:type="dxa"/>
            <w:vAlign w:val="center"/>
          </w:tcPr>
          <w:p w14:paraId="6BB916D9"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0.3 (-0.2 to 0.8)</w:t>
            </w:r>
          </w:p>
        </w:tc>
        <w:tc>
          <w:tcPr>
            <w:tcW w:w="567" w:type="dxa"/>
            <w:vAlign w:val="center"/>
          </w:tcPr>
          <w:p w14:paraId="36AE8522"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0.03</w:t>
            </w:r>
          </w:p>
        </w:tc>
        <w:tc>
          <w:tcPr>
            <w:tcW w:w="3664" w:type="dxa"/>
            <w:vAlign w:val="center"/>
          </w:tcPr>
          <w:p w14:paraId="60363E65" w14:textId="77777777" w:rsidR="00835C45" w:rsidRPr="0056612C" w:rsidRDefault="00835C45" w:rsidP="005C2571">
            <w:pPr>
              <w:jc w:val="center"/>
              <w:rPr>
                <w:rFonts w:ascii="Times New Roman" w:hAnsi="Times New Roman" w:cs="Times New Roman"/>
                <w:i/>
                <w:iCs/>
                <w:sz w:val="18"/>
                <w:szCs w:val="18"/>
                <w:lang w:val="en-US"/>
              </w:rPr>
            </w:pPr>
            <w:r w:rsidRPr="0056612C">
              <w:rPr>
                <w:rFonts w:ascii="Times New Roman" w:hAnsi="Times New Roman" w:cs="Times New Roman"/>
                <w:i/>
                <w:iCs/>
                <w:sz w:val="18"/>
                <w:szCs w:val="18"/>
                <w:lang w:val="en-US"/>
              </w:rPr>
              <w:t>Most likely trivial (0/100/0)</w:t>
            </w:r>
          </w:p>
        </w:tc>
      </w:tr>
      <w:tr w:rsidR="00835C45" w:rsidRPr="0056612C" w14:paraId="42F536D1" w14:textId="77777777" w:rsidTr="005C2571">
        <w:trPr>
          <w:trHeight w:hRule="exact" w:val="340"/>
          <w:jc w:val="center"/>
        </w:trPr>
        <w:tc>
          <w:tcPr>
            <w:tcW w:w="903" w:type="dxa"/>
            <w:vMerge w:val="restart"/>
            <w:vAlign w:val="center"/>
          </w:tcPr>
          <w:p w14:paraId="74FF0257" w14:textId="77777777" w:rsidR="00835C45" w:rsidRPr="0056612C" w:rsidRDefault="00835C45" w:rsidP="005C2571">
            <w:pPr>
              <w:jc w:val="center"/>
              <w:rPr>
                <w:rFonts w:ascii="Times New Roman" w:hAnsi="Times New Roman" w:cs="Times New Roman"/>
                <w:sz w:val="18"/>
                <w:szCs w:val="18"/>
                <w:lang w:val="en-US"/>
              </w:rPr>
            </w:pPr>
          </w:p>
        </w:tc>
        <w:tc>
          <w:tcPr>
            <w:tcW w:w="825" w:type="dxa"/>
            <w:vAlign w:val="center"/>
          </w:tcPr>
          <w:p w14:paraId="7609C694"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5%</w:t>
            </w:r>
          </w:p>
        </w:tc>
        <w:tc>
          <w:tcPr>
            <w:tcW w:w="566" w:type="dxa"/>
            <w:vAlign w:val="center"/>
          </w:tcPr>
          <w:p w14:paraId="70140915"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8</w:t>
            </w:r>
          </w:p>
        </w:tc>
        <w:tc>
          <w:tcPr>
            <w:tcW w:w="708" w:type="dxa"/>
            <w:vAlign w:val="center"/>
          </w:tcPr>
          <w:p w14:paraId="4BAD6B6E"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-0.63</w:t>
            </w:r>
          </w:p>
        </w:tc>
        <w:tc>
          <w:tcPr>
            <w:tcW w:w="711" w:type="dxa"/>
            <w:vAlign w:val="center"/>
          </w:tcPr>
          <w:p w14:paraId="56FF3E17"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0.529</w:t>
            </w:r>
          </w:p>
        </w:tc>
        <w:tc>
          <w:tcPr>
            <w:tcW w:w="1837" w:type="dxa"/>
            <w:vAlign w:val="center"/>
          </w:tcPr>
          <w:p w14:paraId="18FDDE1C"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-1.1 (-4.6 to 2.3)</w:t>
            </w:r>
          </w:p>
        </w:tc>
        <w:tc>
          <w:tcPr>
            <w:tcW w:w="567" w:type="dxa"/>
            <w:vAlign w:val="center"/>
          </w:tcPr>
          <w:p w14:paraId="5E3EA546"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0.16</w:t>
            </w:r>
          </w:p>
        </w:tc>
        <w:tc>
          <w:tcPr>
            <w:tcW w:w="3664" w:type="dxa"/>
            <w:vAlign w:val="center"/>
          </w:tcPr>
          <w:p w14:paraId="245744C0" w14:textId="77777777" w:rsidR="00835C45" w:rsidRPr="0056612C" w:rsidRDefault="00835C45" w:rsidP="005C2571">
            <w:pPr>
              <w:jc w:val="center"/>
              <w:rPr>
                <w:rFonts w:ascii="Times New Roman" w:hAnsi="Times New Roman" w:cs="Times New Roman"/>
                <w:i/>
                <w:iCs/>
                <w:sz w:val="18"/>
                <w:szCs w:val="18"/>
                <w:lang w:val="en-US"/>
              </w:rPr>
            </w:pPr>
            <w:r w:rsidRPr="0056612C">
              <w:rPr>
                <w:rFonts w:ascii="Times New Roman" w:hAnsi="Times New Roman" w:cs="Times New Roman"/>
                <w:i/>
                <w:iCs/>
                <w:sz w:val="18"/>
                <w:szCs w:val="18"/>
                <w:lang w:val="en-US"/>
              </w:rPr>
              <w:t>Most likely trivial (0/100/0)</w:t>
            </w:r>
          </w:p>
        </w:tc>
      </w:tr>
      <w:tr w:rsidR="00835C45" w:rsidRPr="0056612C" w14:paraId="2E2CB755" w14:textId="77777777" w:rsidTr="005C2571">
        <w:trPr>
          <w:trHeight w:hRule="exact" w:val="340"/>
          <w:jc w:val="center"/>
        </w:trPr>
        <w:tc>
          <w:tcPr>
            <w:tcW w:w="903" w:type="dxa"/>
            <w:vMerge/>
            <w:tcBorders>
              <w:bottom w:val="dashSmallGap" w:sz="4" w:space="0" w:color="auto"/>
            </w:tcBorders>
            <w:vAlign w:val="center"/>
          </w:tcPr>
          <w:p w14:paraId="5444CB30" w14:textId="77777777" w:rsidR="00835C45" w:rsidRPr="0056612C" w:rsidRDefault="00835C45" w:rsidP="005C2571">
            <w:pPr>
              <w:jc w:val="center"/>
              <w:rPr>
                <w:rFonts w:ascii="Times New Roman" w:hAnsi="Times New Roman" w:cs="Times New Roman"/>
                <w:sz w:val="18"/>
                <w:szCs w:val="18"/>
                <w:lang w:val="en-US"/>
              </w:rPr>
            </w:pPr>
          </w:p>
        </w:tc>
        <w:tc>
          <w:tcPr>
            <w:tcW w:w="825" w:type="dxa"/>
            <w:tcBorders>
              <w:bottom w:val="dashSmallGap" w:sz="4" w:space="0" w:color="auto"/>
            </w:tcBorders>
            <w:vAlign w:val="center"/>
          </w:tcPr>
          <w:p w14:paraId="6E33D36A"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10%</w:t>
            </w:r>
          </w:p>
        </w:tc>
        <w:tc>
          <w:tcPr>
            <w:tcW w:w="566" w:type="dxa"/>
            <w:tcBorders>
              <w:bottom w:val="dashSmallGap" w:sz="4" w:space="0" w:color="auto"/>
            </w:tcBorders>
            <w:vAlign w:val="center"/>
          </w:tcPr>
          <w:p w14:paraId="554287B0"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8</w:t>
            </w:r>
          </w:p>
        </w:tc>
        <w:tc>
          <w:tcPr>
            <w:tcW w:w="708" w:type="dxa"/>
            <w:tcBorders>
              <w:bottom w:val="dashSmallGap" w:sz="4" w:space="0" w:color="auto"/>
            </w:tcBorders>
            <w:vAlign w:val="center"/>
          </w:tcPr>
          <w:p w14:paraId="745C4047"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-0.65</w:t>
            </w:r>
          </w:p>
        </w:tc>
        <w:tc>
          <w:tcPr>
            <w:tcW w:w="711" w:type="dxa"/>
            <w:tcBorders>
              <w:bottom w:val="dashSmallGap" w:sz="4" w:space="0" w:color="auto"/>
            </w:tcBorders>
            <w:vAlign w:val="center"/>
          </w:tcPr>
          <w:p w14:paraId="121ADFBA"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0.532</w:t>
            </w:r>
          </w:p>
        </w:tc>
        <w:tc>
          <w:tcPr>
            <w:tcW w:w="1837" w:type="dxa"/>
            <w:tcBorders>
              <w:bottom w:val="dashSmallGap" w:sz="4" w:space="0" w:color="auto"/>
            </w:tcBorders>
            <w:vAlign w:val="center"/>
          </w:tcPr>
          <w:p w14:paraId="2C05A6D5"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-2.1 (-9.4 to 5.2)</w:t>
            </w:r>
          </w:p>
        </w:tc>
        <w:tc>
          <w:tcPr>
            <w:tcW w:w="567" w:type="dxa"/>
            <w:tcBorders>
              <w:bottom w:val="dashSmallGap" w:sz="4" w:space="0" w:color="auto"/>
            </w:tcBorders>
            <w:vAlign w:val="center"/>
          </w:tcPr>
          <w:p w14:paraId="6FDDFF0F"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0.29</w:t>
            </w:r>
          </w:p>
        </w:tc>
        <w:tc>
          <w:tcPr>
            <w:tcW w:w="3664" w:type="dxa"/>
            <w:tcBorders>
              <w:bottom w:val="dashSmallGap" w:sz="4" w:space="0" w:color="auto"/>
            </w:tcBorders>
            <w:vAlign w:val="center"/>
          </w:tcPr>
          <w:p w14:paraId="328EDFCE" w14:textId="77777777" w:rsidR="00835C45" w:rsidRPr="0056612C" w:rsidRDefault="00835C45" w:rsidP="005C2571">
            <w:pPr>
              <w:jc w:val="center"/>
              <w:rPr>
                <w:rFonts w:ascii="Times New Roman" w:hAnsi="Times New Roman" w:cs="Times New Roman"/>
                <w:i/>
                <w:iCs/>
                <w:sz w:val="18"/>
                <w:szCs w:val="18"/>
                <w:lang w:val="en-US"/>
              </w:rPr>
            </w:pPr>
            <w:r w:rsidRPr="0056612C">
              <w:rPr>
                <w:rFonts w:ascii="Times New Roman" w:hAnsi="Times New Roman" w:cs="Times New Roman"/>
                <w:i/>
                <w:iCs/>
                <w:sz w:val="18"/>
                <w:szCs w:val="18"/>
                <w:lang w:val="en-US"/>
              </w:rPr>
              <w:t>Very likely trivial (0/95/5)</w:t>
            </w:r>
          </w:p>
        </w:tc>
      </w:tr>
      <w:tr w:rsidR="00835C45" w:rsidRPr="0056612C" w14:paraId="00C76831" w14:textId="77777777" w:rsidTr="005C2571">
        <w:trPr>
          <w:trHeight w:hRule="exact" w:val="340"/>
          <w:jc w:val="center"/>
        </w:trPr>
        <w:tc>
          <w:tcPr>
            <w:tcW w:w="903" w:type="dxa"/>
            <w:tcBorders>
              <w:top w:val="dashSmallGap" w:sz="4" w:space="0" w:color="auto"/>
            </w:tcBorders>
            <w:vAlign w:val="center"/>
          </w:tcPr>
          <w:p w14:paraId="0481F506"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CMJ</w:t>
            </w:r>
          </w:p>
        </w:tc>
        <w:tc>
          <w:tcPr>
            <w:tcW w:w="825" w:type="dxa"/>
            <w:tcBorders>
              <w:top w:val="dashSmallGap" w:sz="4" w:space="0" w:color="auto"/>
            </w:tcBorders>
            <w:vAlign w:val="center"/>
          </w:tcPr>
          <w:p w14:paraId="08A1A30D"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cm/year</w:t>
            </w:r>
          </w:p>
        </w:tc>
        <w:tc>
          <w:tcPr>
            <w:tcW w:w="566" w:type="dxa"/>
            <w:tcBorders>
              <w:top w:val="dashSmallGap" w:sz="4" w:space="0" w:color="auto"/>
            </w:tcBorders>
            <w:vAlign w:val="center"/>
          </w:tcPr>
          <w:p w14:paraId="3BF8E238"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19</w:t>
            </w:r>
          </w:p>
        </w:tc>
        <w:tc>
          <w:tcPr>
            <w:tcW w:w="708" w:type="dxa"/>
            <w:tcBorders>
              <w:top w:val="dashSmallGap" w:sz="4" w:space="0" w:color="auto"/>
            </w:tcBorders>
            <w:vAlign w:val="center"/>
          </w:tcPr>
          <w:p w14:paraId="560B5689"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-0.96</w:t>
            </w:r>
          </w:p>
        </w:tc>
        <w:tc>
          <w:tcPr>
            <w:tcW w:w="711" w:type="dxa"/>
            <w:tcBorders>
              <w:top w:val="dashSmallGap" w:sz="4" w:space="0" w:color="auto"/>
            </w:tcBorders>
            <w:vAlign w:val="center"/>
          </w:tcPr>
          <w:p w14:paraId="0C039798"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0.348</w:t>
            </w:r>
          </w:p>
        </w:tc>
        <w:tc>
          <w:tcPr>
            <w:tcW w:w="1837" w:type="dxa"/>
            <w:tcBorders>
              <w:top w:val="dashSmallGap" w:sz="4" w:space="0" w:color="auto"/>
            </w:tcBorders>
            <w:vAlign w:val="center"/>
          </w:tcPr>
          <w:p w14:paraId="00DB6330"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-0.1 (-0.2 to 0.1)</w:t>
            </w:r>
          </w:p>
        </w:tc>
        <w:tc>
          <w:tcPr>
            <w:tcW w:w="567" w:type="dxa"/>
            <w:tcBorders>
              <w:top w:val="dashSmallGap" w:sz="4" w:space="0" w:color="auto"/>
            </w:tcBorders>
            <w:vAlign w:val="center"/>
          </w:tcPr>
          <w:p w14:paraId="7B78C80E"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0.03</w:t>
            </w:r>
          </w:p>
        </w:tc>
        <w:tc>
          <w:tcPr>
            <w:tcW w:w="3664" w:type="dxa"/>
            <w:tcBorders>
              <w:top w:val="dashSmallGap" w:sz="4" w:space="0" w:color="auto"/>
            </w:tcBorders>
            <w:vAlign w:val="center"/>
          </w:tcPr>
          <w:p w14:paraId="639FB3F3" w14:textId="77777777" w:rsidR="00835C45" w:rsidRPr="0056612C" w:rsidRDefault="00835C45" w:rsidP="005C2571">
            <w:pPr>
              <w:jc w:val="center"/>
              <w:rPr>
                <w:rFonts w:ascii="Times New Roman" w:hAnsi="Times New Roman" w:cs="Times New Roman"/>
                <w:b/>
                <w:bCs/>
                <w:i/>
                <w:iCs/>
                <w:sz w:val="18"/>
                <w:szCs w:val="18"/>
                <w:lang w:val="en-US"/>
              </w:rPr>
            </w:pPr>
            <w:r w:rsidRPr="0056612C">
              <w:rPr>
                <w:rFonts w:ascii="Times New Roman" w:hAnsi="Times New Roman" w:cs="Times New Roman"/>
                <w:i/>
                <w:iCs/>
                <w:sz w:val="18"/>
                <w:szCs w:val="18"/>
                <w:lang w:val="en-US"/>
              </w:rPr>
              <w:t>Most likely trivial (0/100/0)</w:t>
            </w:r>
          </w:p>
        </w:tc>
      </w:tr>
      <w:tr w:rsidR="00835C45" w:rsidRPr="0056612C" w14:paraId="018412BA" w14:textId="77777777" w:rsidTr="005C2571">
        <w:trPr>
          <w:trHeight w:hRule="exact" w:val="340"/>
          <w:jc w:val="center"/>
        </w:trPr>
        <w:tc>
          <w:tcPr>
            <w:tcW w:w="903" w:type="dxa"/>
            <w:vMerge w:val="restart"/>
            <w:vAlign w:val="center"/>
          </w:tcPr>
          <w:p w14:paraId="7CF4DD63" w14:textId="77777777" w:rsidR="00835C45" w:rsidRPr="0056612C" w:rsidRDefault="00835C45" w:rsidP="005C2571">
            <w:pPr>
              <w:jc w:val="center"/>
              <w:rPr>
                <w:rFonts w:ascii="Times New Roman" w:hAnsi="Times New Roman" w:cs="Times New Roman"/>
                <w:sz w:val="18"/>
                <w:szCs w:val="18"/>
                <w:lang w:val="en-US"/>
              </w:rPr>
            </w:pPr>
          </w:p>
        </w:tc>
        <w:tc>
          <w:tcPr>
            <w:tcW w:w="825" w:type="dxa"/>
            <w:vAlign w:val="center"/>
          </w:tcPr>
          <w:p w14:paraId="58DE2B01"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5%</w:t>
            </w:r>
          </w:p>
        </w:tc>
        <w:tc>
          <w:tcPr>
            <w:tcW w:w="566" w:type="dxa"/>
            <w:vAlign w:val="center"/>
          </w:tcPr>
          <w:p w14:paraId="5E24BD79"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58</w:t>
            </w:r>
          </w:p>
        </w:tc>
        <w:tc>
          <w:tcPr>
            <w:tcW w:w="708" w:type="dxa"/>
            <w:vAlign w:val="center"/>
          </w:tcPr>
          <w:p w14:paraId="4285AB51"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4.89</w:t>
            </w:r>
          </w:p>
        </w:tc>
        <w:tc>
          <w:tcPr>
            <w:tcW w:w="711" w:type="dxa"/>
            <w:vAlign w:val="center"/>
          </w:tcPr>
          <w:p w14:paraId="1D0A0C88"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0.001</w:t>
            </w:r>
            <w:r>
              <w:rPr>
                <w:rFonts w:ascii="Times New Roman" w:hAnsi="Times New Roman" w:cs="Times New Roman"/>
                <w:sz w:val="18"/>
                <w:szCs w:val="18"/>
                <w:lang w:val="en-US"/>
              </w:rPr>
              <w:t>*</w:t>
            </w:r>
          </w:p>
        </w:tc>
        <w:tc>
          <w:tcPr>
            <w:tcW w:w="1837" w:type="dxa"/>
            <w:vAlign w:val="center"/>
          </w:tcPr>
          <w:p w14:paraId="258F8989"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4.3 (2.5 to 6.1)</w:t>
            </w:r>
          </w:p>
        </w:tc>
        <w:tc>
          <w:tcPr>
            <w:tcW w:w="567" w:type="dxa"/>
            <w:vAlign w:val="center"/>
          </w:tcPr>
          <w:p w14:paraId="0E9C153B"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1.72</w:t>
            </w:r>
          </w:p>
        </w:tc>
        <w:tc>
          <w:tcPr>
            <w:tcW w:w="3664" w:type="dxa"/>
            <w:vAlign w:val="center"/>
          </w:tcPr>
          <w:p w14:paraId="14E71E5A" w14:textId="77777777" w:rsidR="00835C45" w:rsidRPr="0056612C" w:rsidRDefault="00835C45" w:rsidP="005C2571">
            <w:pPr>
              <w:jc w:val="center"/>
              <w:rPr>
                <w:rFonts w:ascii="Times New Roman" w:hAnsi="Times New Roman" w:cs="Times New Roman"/>
                <w:b/>
                <w:bCs/>
                <w:i/>
                <w:iCs/>
                <w:sz w:val="18"/>
                <w:szCs w:val="18"/>
                <w:lang w:val="en-US"/>
              </w:rPr>
            </w:pPr>
            <w:r w:rsidRPr="0056612C">
              <w:rPr>
                <w:rFonts w:ascii="Times New Roman" w:hAnsi="Times New Roman" w:cs="Times New Roman"/>
                <w:b/>
                <w:bCs/>
                <w:i/>
                <w:iCs/>
                <w:sz w:val="18"/>
                <w:szCs w:val="18"/>
                <w:lang w:val="en-US"/>
              </w:rPr>
              <w:t>More mature most likely higher (99/1/0)</w:t>
            </w:r>
          </w:p>
        </w:tc>
      </w:tr>
      <w:tr w:rsidR="00835C45" w:rsidRPr="0056612C" w14:paraId="579361EC" w14:textId="77777777" w:rsidTr="005C2571">
        <w:trPr>
          <w:trHeight w:hRule="exact" w:val="340"/>
          <w:jc w:val="center"/>
        </w:trPr>
        <w:tc>
          <w:tcPr>
            <w:tcW w:w="903" w:type="dxa"/>
            <w:vMerge/>
            <w:vAlign w:val="center"/>
          </w:tcPr>
          <w:p w14:paraId="42CF2D9B" w14:textId="77777777" w:rsidR="00835C45" w:rsidRPr="0056612C" w:rsidRDefault="00835C45" w:rsidP="005C2571">
            <w:pPr>
              <w:jc w:val="center"/>
              <w:rPr>
                <w:rFonts w:ascii="Times New Roman" w:hAnsi="Times New Roman" w:cs="Times New Roman"/>
                <w:sz w:val="18"/>
                <w:szCs w:val="18"/>
                <w:lang w:val="en-US"/>
              </w:rPr>
            </w:pPr>
          </w:p>
        </w:tc>
        <w:tc>
          <w:tcPr>
            <w:tcW w:w="825" w:type="dxa"/>
            <w:vAlign w:val="center"/>
          </w:tcPr>
          <w:p w14:paraId="21156A74"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10%</w:t>
            </w:r>
          </w:p>
        </w:tc>
        <w:tc>
          <w:tcPr>
            <w:tcW w:w="566" w:type="dxa"/>
            <w:vAlign w:val="center"/>
          </w:tcPr>
          <w:p w14:paraId="4DA1AC99"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58</w:t>
            </w:r>
          </w:p>
        </w:tc>
        <w:tc>
          <w:tcPr>
            <w:tcW w:w="708" w:type="dxa"/>
            <w:vAlign w:val="center"/>
          </w:tcPr>
          <w:p w14:paraId="4E6735DC"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4.89</w:t>
            </w:r>
          </w:p>
        </w:tc>
        <w:tc>
          <w:tcPr>
            <w:tcW w:w="711" w:type="dxa"/>
            <w:vAlign w:val="center"/>
          </w:tcPr>
          <w:p w14:paraId="688A0F50"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0.001</w:t>
            </w:r>
            <w:r>
              <w:rPr>
                <w:rFonts w:ascii="Times New Roman" w:hAnsi="Times New Roman" w:cs="Times New Roman"/>
                <w:sz w:val="18"/>
                <w:szCs w:val="18"/>
                <w:lang w:val="en-US"/>
              </w:rPr>
              <w:t>*</w:t>
            </w:r>
          </w:p>
        </w:tc>
        <w:tc>
          <w:tcPr>
            <w:tcW w:w="1837" w:type="dxa"/>
            <w:vAlign w:val="center"/>
          </w:tcPr>
          <w:p w14:paraId="137A5A77"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8.6 (5.1 to 12.1)</w:t>
            </w:r>
          </w:p>
        </w:tc>
        <w:tc>
          <w:tcPr>
            <w:tcW w:w="567" w:type="dxa"/>
            <w:vAlign w:val="center"/>
          </w:tcPr>
          <w:p w14:paraId="57ED3802"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3.03</w:t>
            </w:r>
          </w:p>
        </w:tc>
        <w:tc>
          <w:tcPr>
            <w:tcW w:w="3664" w:type="dxa"/>
            <w:vAlign w:val="center"/>
          </w:tcPr>
          <w:p w14:paraId="428A8815" w14:textId="77777777" w:rsidR="00835C45" w:rsidRPr="0056612C" w:rsidRDefault="00835C45" w:rsidP="005C2571">
            <w:pPr>
              <w:jc w:val="center"/>
              <w:rPr>
                <w:rFonts w:ascii="Times New Roman" w:hAnsi="Times New Roman" w:cs="Times New Roman"/>
                <w:b/>
                <w:bCs/>
                <w:i/>
                <w:iCs/>
                <w:sz w:val="18"/>
                <w:szCs w:val="18"/>
                <w:lang w:val="en-US"/>
              </w:rPr>
            </w:pPr>
            <w:r w:rsidRPr="0056612C">
              <w:rPr>
                <w:rFonts w:ascii="Times New Roman" w:hAnsi="Times New Roman" w:cs="Times New Roman"/>
                <w:b/>
                <w:bCs/>
                <w:i/>
                <w:iCs/>
                <w:sz w:val="18"/>
                <w:szCs w:val="18"/>
                <w:lang w:val="en-US"/>
              </w:rPr>
              <w:t>More mature most likely higher (100/0/0)</w:t>
            </w:r>
          </w:p>
        </w:tc>
      </w:tr>
      <w:tr w:rsidR="00835C45" w:rsidRPr="0056612C" w14:paraId="5D25FF16" w14:textId="77777777" w:rsidTr="005C2571">
        <w:trPr>
          <w:trHeight w:hRule="exact" w:val="340"/>
          <w:jc w:val="center"/>
        </w:trPr>
        <w:tc>
          <w:tcPr>
            <w:tcW w:w="903" w:type="dxa"/>
            <w:vAlign w:val="center"/>
          </w:tcPr>
          <w:p w14:paraId="4C2081D6"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RSI</w:t>
            </w:r>
          </w:p>
        </w:tc>
        <w:tc>
          <w:tcPr>
            <w:tcW w:w="825" w:type="dxa"/>
            <w:vAlign w:val="center"/>
          </w:tcPr>
          <w:p w14:paraId="1621C630"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cm/year</w:t>
            </w:r>
          </w:p>
        </w:tc>
        <w:tc>
          <w:tcPr>
            <w:tcW w:w="566" w:type="dxa"/>
            <w:vAlign w:val="center"/>
          </w:tcPr>
          <w:p w14:paraId="28BCD1F1"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60</w:t>
            </w:r>
          </w:p>
        </w:tc>
        <w:tc>
          <w:tcPr>
            <w:tcW w:w="708" w:type="dxa"/>
            <w:vAlign w:val="center"/>
          </w:tcPr>
          <w:p w14:paraId="6ECECE5C"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0.42</w:t>
            </w:r>
          </w:p>
        </w:tc>
        <w:tc>
          <w:tcPr>
            <w:tcW w:w="711" w:type="dxa"/>
            <w:vAlign w:val="center"/>
          </w:tcPr>
          <w:p w14:paraId="0ECF8806"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0.674</w:t>
            </w:r>
          </w:p>
        </w:tc>
        <w:tc>
          <w:tcPr>
            <w:tcW w:w="1837" w:type="dxa"/>
            <w:vAlign w:val="center"/>
          </w:tcPr>
          <w:p w14:paraId="4AA21789"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0.1 (-0.1 to 0.1)</w:t>
            </w:r>
          </w:p>
        </w:tc>
        <w:tc>
          <w:tcPr>
            <w:tcW w:w="567" w:type="dxa"/>
            <w:vAlign w:val="center"/>
          </w:tcPr>
          <w:p w14:paraId="476DB5F1"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0.02</w:t>
            </w:r>
          </w:p>
        </w:tc>
        <w:tc>
          <w:tcPr>
            <w:tcW w:w="3664" w:type="dxa"/>
            <w:vAlign w:val="center"/>
          </w:tcPr>
          <w:p w14:paraId="56E9A9DA" w14:textId="77777777" w:rsidR="00835C45" w:rsidRPr="0056612C" w:rsidRDefault="00835C45" w:rsidP="005C2571">
            <w:pPr>
              <w:jc w:val="center"/>
              <w:rPr>
                <w:rFonts w:ascii="Times New Roman" w:hAnsi="Times New Roman" w:cs="Times New Roman"/>
                <w:b/>
                <w:bCs/>
                <w:i/>
                <w:iCs/>
                <w:sz w:val="18"/>
                <w:szCs w:val="18"/>
                <w:lang w:val="en-US"/>
              </w:rPr>
            </w:pPr>
            <w:r w:rsidRPr="0056612C">
              <w:rPr>
                <w:rFonts w:ascii="Times New Roman" w:hAnsi="Times New Roman" w:cs="Times New Roman"/>
                <w:i/>
                <w:iCs/>
                <w:sz w:val="18"/>
                <w:szCs w:val="18"/>
                <w:lang w:val="en-US"/>
              </w:rPr>
              <w:t>Most likely trivial (0/100/0)</w:t>
            </w:r>
          </w:p>
        </w:tc>
      </w:tr>
      <w:tr w:rsidR="00835C45" w:rsidRPr="0056612C" w14:paraId="1F004489" w14:textId="77777777" w:rsidTr="005C2571">
        <w:trPr>
          <w:trHeight w:hRule="exact" w:val="340"/>
          <w:jc w:val="center"/>
        </w:trPr>
        <w:tc>
          <w:tcPr>
            <w:tcW w:w="903" w:type="dxa"/>
            <w:vMerge w:val="restart"/>
            <w:vAlign w:val="center"/>
          </w:tcPr>
          <w:p w14:paraId="15B7E89B" w14:textId="77777777" w:rsidR="00835C45" w:rsidRPr="0056612C" w:rsidRDefault="00835C45" w:rsidP="005C2571">
            <w:pPr>
              <w:jc w:val="center"/>
              <w:rPr>
                <w:rFonts w:ascii="Times New Roman" w:hAnsi="Times New Roman" w:cs="Times New Roman"/>
                <w:sz w:val="18"/>
                <w:szCs w:val="18"/>
                <w:lang w:val="en-US"/>
              </w:rPr>
            </w:pPr>
          </w:p>
        </w:tc>
        <w:tc>
          <w:tcPr>
            <w:tcW w:w="825" w:type="dxa"/>
            <w:vAlign w:val="center"/>
          </w:tcPr>
          <w:p w14:paraId="4B632E37"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5%</w:t>
            </w:r>
          </w:p>
        </w:tc>
        <w:tc>
          <w:tcPr>
            <w:tcW w:w="566" w:type="dxa"/>
            <w:vAlign w:val="center"/>
          </w:tcPr>
          <w:p w14:paraId="36F0DEC1"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75</w:t>
            </w:r>
          </w:p>
        </w:tc>
        <w:tc>
          <w:tcPr>
            <w:tcW w:w="708" w:type="dxa"/>
            <w:vAlign w:val="center"/>
          </w:tcPr>
          <w:p w14:paraId="519E65BC"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2.1</w:t>
            </w:r>
          </w:p>
        </w:tc>
        <w:tc>
          <w:tcPr>
            <w:tcW w:w="711" w:type="dxa"/>
            <w:vAlign w:val="center"/>
          </w:tcPr>
          <w:p w14:paraId="44B1AC0C"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0.038</w:t>
            </w:r>
            <w:r>
              <w:rPr>
                <w:rFonts w:ascii="Times New Roman" w:hAnsi="Times New Roman" w:cs="Times New Roman"/>
                <w:sz w:val="18"/>
                <w:szCs w:val="18"/>
                <w:lang w:val="en-US"/>
              </w:rPr>
              <w:t>*</w:t>
            </w:r>
          </w:p>
        </w:tc>
        <w:tc>
          <w:tcPr>
            <w:tcW w:w="1837" w:type="dxa"/>
            <w:vAlign w:val="center"/>
          </w:tcPr>
          <w:p w14:paraId="6F221E86"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0.1 (0.1 to 0.2)</w:t>
            </w:r>
          </w:p>
        </w:tc>
        <w:tc>
          <w:tcPr>
            <w:tcW w:w="567" w:type="dxa"/>
            <w:vAlign w:val="center"/>
          </w:tcPr>
          <w:p w14:paraId="0AF9F68A"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1.44</w:t>
            </w:r>
          </w:p>
        </w:tc>
        <w:tc>
          <w:tcPr>
            <w:tcW w:w="3664" w:type="dxa"/>
            <w:vAlign w:val="center"/>
          </w:tcPr>
          <w:p w14:paraId="3273C95A" w14:textId="77777777" w:rsidR="00835C45" w:rsidRPr="0056612C" w:rsidRDefault="00835C45" w:rsidP="005C2571">
            <w:pPr>
              <w:jc w:val="center"/>
              <w:rPr>
                <w:rFonts w:ascii="Times New Roman" w:hAnsi="Times New Roman" w:cs="Times New Roman"/>
                <w:b/>
                <w:bCs/>
                <w:i/>
                <w:iCs/>
                <w:sz w:val="18"/>
                <w:szCs w:val="18"/>
                <w:lang w:val="en-US"/>
              </w:rPr>
            </w:pPr>
            <w:r w:rsidRPr="0056612C">
              <w:rPr>
                <w:rFonts w:ascii="Times New Roman" w:hAnsi="Times New Roman" w:cs="Times New Roman"/>
                <w:b/>
                <w:bCs/>
                <w:i/>
                <w:iCs/>
                <w:sz w:val="18"/>
                <w:szCs w:val="18"/>
                <w:lang w:val="en-US"/>
              </w:rPr>
              <w:t>More mature likely higher (90/10/0)</w:t>
            </w:r>
          </w:p>
        </w:tc>
      </w:tr>
      <w:tr w:rsidR="00835C45" w:rsidRPr="0056612C" w14:paraId="1F6A64C5" w14:textId="77777777" w:rsidTr="005C2571">
        <w:trPr>
          <w:trHeight w:hRule="exact" w:val="340"/>
          <w:jc w:val="center"/>
        </w:trPr>
        <w:tc>
          <w:tcPr>
            <w:tcW w:w="903" w:type="dxa"/>
            <w:vMerge/>
            <w:vAlign w:val="center"/>
          </w:tcPr>
          <w:p w14:paraId="6851F024" w14:textId="77777777" w:rsidR="00835C45" w:rsidRPr="0056612C" w:rsidRDefault="00835C45" w:rsidP="005C2571">
            <w:pPr>
              <w:jc w:val="center"/>
              <w:rPr>
                <w:rFonts w:ascii="Times New Roman" w:hAnsi="Times New Roman" w:cs="Times New Roman"/>
                <w:sz w:val="18"/>
                <w:szCs w:val="18"/>
                <w:lang w:val="en-US"/>
              </w:rPr>
            </w:pPr>
          </w:p>
        </w:tc>
        <w:tc>
          <w:tcPr>
            <w:tcW w:w="825" w:type="dxa"/>
            <w:vAlign w:val="center"/>
          </w:tcPr>
          <w:p w14:paraId="2A769402"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10%</w:t>
            </w:r>
          </w:p>
        </w:tc>
        <w:tc>
          <w:tcPr>
            <w:tcW w:w="566" w:type="dxa"/>
            <w:vAlign w:val="center"/>
          </w:tcPr>
          <w:p w14:paraId="2218DF07"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65</w:t>
            </w:r>
          </w:p>
        </w:tc>
        <w:tc>
          <w:tcPr>
            <w:tcW w:w="708" w:type="dxa"/>
            <w:vAlign w:val="center"/>
          </w:tcPr>
          <w:p w14:paraId="2F30E244"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1.98</w:t>
            </w:r>
          </w:p>
        </w:tc>
        <w:tc>
          <w:tcPr>
            <w:tcW w:w="711" w:type="dxa"/>
            <w:vAlign w:val="center"/>
          </w:tcPr>
          <w:p w14:paraId="01651290"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0.052</w:t>
            </w:r>
          </w:p>
        </w:tc>
        <w:tc>
          <w:tcPr>
            <w:tcW w:w="1837" w:type="dxa"/>
            <w:vAlign w:val="center"/>
          </w:tcPr>
          <w:p w14:paraId="1D85D935"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w:t>
            </w:r>
            <w:r>
              <w:rPr>
                <w:rFonts w:ascii="Times New Roman" w:hAnsi="Times New Roman" w:cs="Times New Roman"/>
                <w:sz w:val="18"/>
                <w:szCs w:val="18"/>
                <w:lang w:val="en-US"/>
              </w:rPr>
              <w:t>2</w:t>
            </w:r>
            <w:r w:rsidRPr="0056612C">
              <w:rPr>
                <w:rFonts w:ascii="Times New Roman" w:hAnsi="Times New Roman" w:cs="Times New Roman"/>
                <w:sz w:val="18"/>
                <w:szCs w:val="18"/>
                <w:lang w:val="en-US"/>
              </w:rPr>
              <w:t xml:space="preserve"> (-0.1 to 0.4)</w:t>
            </w:r>
          </w:p>
        </w:tc>
        <w:tc>
          <w:tcPr>
            <w:tcW w:w="567" w:type="dxa"/>
            <w:vAlign w:val="center"/>
          </w:tcPr>
          <w:p w14:paraId="32EA9741"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3.06</w:t>
            </w:r>
          </w:p>
        </w:tc>
        <w:tc>
          <w:tcPr>
            <w:tcW w:w="3664" w:type="dxa"/>
            <w:vAlign w:val="center"/>
          </w:tcPr>
          <w:p w14:paraId="6CB96526" w14:textId="77777777" w:rsidR="00835C45" w:rsidRPr="0056612C" w:rsidRDefault="00835C45" w:rsidP="005C2571">
            <w:pPr>
              <w:jc w:val="center"/>
              <w:rPr>
                <w:rFonts w:ascii="Times New Roman" w:hAnsi="Times New Roman" w:cs="Times New Roman"/>
                <w:b/>
                <w:bCs/>
                <w:i/>
                <w:iCs/>
                <w:sz w:val="18"/>
                <w:szCs w:val="18"/>
                <w:lang w:val="en-US"/>
              </w:rPr>
            </w:pPr>
            <w:r w:rsidRPr="0056612C">
              <w:rPr>
                <w:rFonts w:ascii="Times New Roman" w:hAnsi="Times New Roman" w:cs="Times New Roman"/>
                <w:b/>
                <w:bCs/>
                <w:i/>
                <w:iCs/>
                <w:sz w:val="18"/>
                <w:szCs w:val="18"/>
                <w:lang w:val="en-US"/>
              </w:rPr>
              <w:t>More mature very likely higher (95/4/1)</w:t>
            </w:r>
          </w:p>
        </w:tc>
      </w:tr>
      <w:tr w:rsidR="00835C45" w:rsidRPr="0056612C" w14:paraId="60ED0921" w14:textId="77777777" w:rsidTr="005C2571">
        <w:trPr>
          <w:trHeight w:hRule="exact" w:val="340"/>
          <w:jc w:val="center"/>
        </w:trPr>
        <w:tc>
          <w:tcPr>
            <w:tcW w:w="903" w:type="dxa"/>
            <w:vAlign w:val="center"/>
          </w:tcPr>
          <w:p w14:paraId="4FA8A279"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ABS</w:t>
            </w:r>
          </w:p>
        </w:tc>
        <w:tc>
          <w:tcPr>
            <w:tcW w:w="825" w:type="dxa"/>
            <w:vAlign w:val="center"/>
          </w:tcPr>
          <w:p w14:paraId="136DCBAF"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cm/year</w:t>
            </w:r>
          </w:p>
        </w:tc>
        <w:tc>
          <w:tcPr>
            <w:tcW w:w="566" w:type="dxa"/>
            <w:vAlign w:val="center"/>
          </w:tcPr>
          <w:p w14:paraId="762BB63D"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9</w:t>
            </w:r>
          </w:p>
        </w:tc>
        <w:tc>
          <w:tcPr>
            <w:tcW w:w="708" w:type="dxa"/>
            <w:vAlign w:val="center"/>
          </w:tcPr>
          <w:p w14:paraId="05FB2ECF"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-1.16</w:t>
            </w:r>
          </w:p>
        </w:tc>
        <w:tc>
          <w:tcPr>
            <w:tcW w:w="711" w:type="dxa"/>
            <w:vAlign w:val="center"/>
          </w:tcPr>
          <w:p w14:paraId="103F7D5D"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0.463</w:t>
            </w:r>
          </w:p>
        </w:tc>
        <w:tc>
          <w:tcPr>
            <w:tcW w:w="1837" w:type="dxa"/>
            <w:vAlign w:val="center"/>
          </w:tcPr>
          <w:p w14:paraId="6EB91B2B"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-0.3 (-4.3 to 3.7)</w:t>
            </w:r>
          </w:p>
        </w:tc>
        <w:tc>
          <w:tcPr>
            <w:tcW w:w="567" w:type="dxa"/>
            <w:vAlign w:val="center"/>
          </w:tcPr>
          <w:p w14:paraId="4E543E46"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0.27</w:t>
            </w:r>
          </w:p>
        </w:tc>
        <w:tc>
          <w:tcPr>
            <w:tcW w:w="3664" w:type="dxa"/>
            <w:vAlign w:val="center"/>
          </w:tcPr>
          <w:p w14:paraId="10E5F4CD" w14:textId="77777777" w:rsidR="00835C45" w:rsidRPr="0056612C" w:rsidRDefault="00835C45" w:rsidP="005C2571">
            <w:pPr>
              <w:jc w:val="center"/>
              <w:rPr>
                <w:rFonts w:ascii="Times New Roman" w:hAnsi="Times New Roman" w:cs="Times New Roman"/>
                <w:b/>
                <w:bCs/>
                <w:i/>
                <w:iCs/>
                <w:sz w:val="18"/>
                <w:szCs w:val="18"/>
                <w:lang w:val="en-US"/>
              </w:rPr>
            </w:pPr>
            <w:r w:rsidRPr="0056612C">
              <w:rPr>
                <w:rFonts w:ascii="Times New Roman" w:hAnsi="Times New Roman" w:cs="Times New Roman"/>
                <w:i/>
                <w:iCs/>
                <w:sz w:val="18"/>
                <w:szCs w:val="18"/>
                <w:lang w:val="en-US"/>
              </w:rPr>
              <w:t>Most likely trivial (0/100/0)</w:t>
            </w:r>
          </w:p>
        </w:tc>
      </w:tr>
      <w:tr w:rsidR="00835C45" w:rsidRPr="0056612C" w14:paraId="0C0FDC38" w14:textId="77777777" w:rsidTr="005C2571">
        <w:trPr>
          <w:trHeight w:hRule="exact" w:val="340"/>
          <w:jc w:val="center"/>
        </w:trPr>
        <w:tc>
          <w:tcPr>
            <w:tcW w:w="903" w:type="dxa"/>
            <w:vMerge w:val="restart"/>
            <w:vAlign w:val="center"/>
          </w:tcPr>
          <w:p w14:paraId="00841AB9" w14:textId="77777777" w:rsidR="00835C45" w:rsidRPr="0056612C" w:rsidRDefault="00835C45" w:rsidP="005C2571">
            <w:pPr>
              <w:jc w:val="center"/>
              <w:rPr>
                <w:rFonts w:ascii="Times New Roman" w:hAnsi="Times New Roman" w:cs="Times New Roman"/>
                <w:sz w:val="18"/>
                <w:szCs w:val="18"/>
                <w:lang w:val="en-US"/>
              </w:rPr>
            </w:pPr>
          </w:p>
        </w:tc>
        <w:tc>
          <w:tcPr>
            <w:tcW w:w="825" w:type="dxa"/>
            <w:vAlign w:val="center"/>
          </w:tcPr>
          <w:p w14:paraId="6701D59D"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5%</w:t>
            </w:r>
          </w:p>
        </w:tc>
        <w:tc>
          <w:tcPr>
            <w:tcW w:w="566" w:type="dxa"/>
            <w:vAlign w:val="center"/>
          </w:tcPr>
          <w:p w14:paraId="4C6CE0E5"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67</w:t>
            </w:r>
          </w:p>
        </w:tc>
        <w:tc>
          <w:tcPr>
            <w:tcW w:w="708" w:type="dxa"/>
            <w:vAlign w:val="center"/>
          </w:tcPr>
          <w:p w14:paraId="07FC95F9"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2.10</w:t>
            </w:r>
          </w:p>
        </w:tc>
        <w:tc>
          <w:tcPr>
            <w:tcW w:w="711" w:type="dxa"/>
            <w:vAlign w:val="center"/>
          </w:tcPr>
          <w:p w14:paraId="001230B3"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0.043</w:t>
            </w:r>
            <w:r>
              <w:rPr>
                <w:rFonts w:ascii="Times New Roman" w:hAnsi="Times New Roman" w:cs="Times New Roman"/>
                <w:sz w:val="18"/>
                <w:szCs w:val="18"/>
                <w:lang w:val="en-US"/>
              </w:rPr>
              <w:t>*</w:t>
            </w:r>
          </w:p>
        </w:tc>
        <w:tc>
          <w:tcPr>
            <w:tcW w:w="1837" w:type="dxa"/>
            <w:vAlign w:val="center"/>
          </w:tcPr>
          <w:p w14:paraId="54E30231"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2.8 (0.9 to 5.5)</w:t>
            </w:r>
          </w:p>
        </w:tc>
        <w:tc>
          <w:tcPr>
            <w:tcW w:w="567" w:type="dxa"/>
            <w:vAlign w:val="center"/>
          </w:tcPr>
          <w:p w14:paraId="23D7F05D"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0.58</w:t>
            </w:r>
          </w:p>
        </w:tc>
        <w:tc>
          <w:tcPr>
            <w:tcW w:w="3664" w:type="dxa"/>
            <w:vAlign w:val="center"/>
          </w:tcPr>
          <w:p w14:paraId="2E2CE9BE" w14:textId="77777777" w:rsidR="00835C45" w:rsidRPr="0056612C" w:rsidRDefault="00835C45" w:rsidP="005C2571">
            <w:pPr>
              <w:jc w:val="center"/>
              <w:rPr>
                <w:rFonts w:ascii="Times New Roman" w:hAnsi="Times New Roman" w:cs="Times New Roman"/>
                <w:b/>
                <w:bCs/>
                <w:i/>
                <w:iCs/>
                <w:sz w:val="18"/>
                <w:szCs w:val="18"/>
                <w:lang w:val="en-US"/>
              </w:rPr>
            </w:pPr>
            <w:r w:rsidRPr="0056612C">
              <w:rPr>
                <w:rFonts w:ascii="Times New Roman" w:hAnsi="Times New Roman" w:cs="Times New Roman"/>
                <w:b/>
                <w:bCs/>
                <w:i/>
                <w:iCs/>
                <w:sz w:val="18"/>
                <w:szCs w:val="18"/>
                <w:lang w:val="en-US"/>
              </w:rPr>
              <w:t>More mature likely higher (90/10/0)</w:t>
            </w:r>
          </w:p>
        </w:tc>
      </w:tr>
      <w:tr w:rsidR="00835C45" w:rsidRPr="0056612C" w14:paraId="1D5740FE" w14:textId="77777777" w:rsidTr="005C2571">
        <w:trPr>
          <w:trHeight w:hRule="exact" w:val="340"/>
          <w:jc w:val="center"/>
        </w:trPr>
        <w:tc>
          <w:tcPr>
            <w:tcW w:w="903" w:type="dxa"/>
            <w:vMerge/>
            <w:vAlign w:val="center"/>
          </w:tcPr>
          <w:p w14:paraId="577FFAAD" w14:textId="77777777" w:rsidR="00835C45" w:rsidRPr="0056612C" w:rsidRDefault="00835C45" w:rsidP="005C2571">
            <w:pPr>
              <w:jc w:val="center"/>
              <w:rPr>
                <w:rFonts w:ascii="Times New Roman" w:hAnsi="Times New Roman" w:cs="Times New Roman"/>
                <w:sz w:val="18"/>
                <w:szCs w:val="18"/>
                <w:lang w:val="en-US"/>
              </w:rPr>
            </w:pPr>
          </w:p>
        </w:tc>
        <w:tc>
          <w:tcPr>
            <w:tcW w:w="825" w:type="dxa"/>
            <w:vAlign w:val="center"/>
          </w:tcPr>
          <w:p w14:paraId="63C0B0BD"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10%</w:t>
            </w:r>
          </w:p>
        </w:tc>
        <w:tc>
          <w:tcPr>
            <w:tcW w:w="566" w:type="dxa"/>
            <w:vAlign w:val="center"/>
          </w:tcPr>
          <w:p w14:paraId="72492018"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84</w:t>
            </w:r>
          </w:p>
        </w:tc>
        <w:tc>
          <w:tcPr>
            <w:tcW w:w="708" w:type="dxa"/>
            <w:vAlign w:val="center"/>
          </w:tcPr>
          <w:p w14:paraId="7A6125F6"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2.10</w:t>
            </w:r>
          </w:p>
        </w:tc>
        <w:tc>
          <w:tcPr>
            <w:tcW w:w="711" w:type="dxa"/>
            <w:vAlign w:val="center"/>
          </w:tcPr>
          <w:p w14:paraId="7BFA4846"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0.043</w:t>
            </w:r>
            <w:r>
              <w:rPr>
                <w:rFonts w:ascii="Times New Roman" w:hAnsi="Times New Roman" w:cs="Times New Roman"/>
                <w:sz w:val="18"/>
                <w:szCs w:val="18"/>
                <w:lang w:val="en-US"/>
              </w:rPr>
              <w:t>*</w:t>
            </w:r>
          </w:p>
        </w:tc>
        <w:tc>
          <w:tcPr>
            <w:tcW w:w="1837" w:type="dxa"/>
            <w:vAlign w:val="center"/>
          </w:tcPr>
          <w:p w14:paraId="4BB393A6"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5.6 (0.2 to 11.1)</w:t>
            </w:r>
          </w:p>
        </w:tc>
        <w:tc>
          <w:tcPr>
            <w:tcW w:w="567" w:type="dxa"/>
            <w:vAlign w:val="center"/>
          </w:tcPr>
          <w:p w14:paraId="433428A3"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1.53</w:t>
            </w:r>
          </w:p>
        </w:tc>
        <w:tc>
          <w:tcPr>
            <w:tcW w:w="3664" w:type="dxa"/>
            <w:vAlign w:val="center"/>
          </w:tcPr>
          <w:p w14:paraId="4307CD2E" w14:textId="77777777" w:rsidR="00835C45" w:rsidRPr="0056612C" w:rsidRDefault="00835C45" w:rsidP="005C2571">
            <w:pPr>
              <w:jc w:val="center"/>
              <w:rPr>
                <w:rFonts w:ascii="Times New Roman" w:hAnsi="Times New Roman" w:cs="Times New Roman"/>
                <w:b/>
                <w:bCs/>
                <w:i/>
                <w:iCs/>
                <w:sz w:val="18"/>
                <w:szCs w:val="18"/>
                <w:lang w:val="en-US"/>
              </w:rPr>
            </w:pPr>
            <w:r w:rsidRPr="0056612C">
              <w:rPr>
                <w:rFonts w:ascii="Times New Roman" w:hAnsi="Times New Roman" w:cs="Times New Roman"/>
                <w:b/>
                <w:bCs/>
                <w:i/>
                <w:iCs/>
                <w:sz w:val="18"/>
                <w:szCs w:val="18"/>
                <w:lang w:val="en-US"/>
              </w:rPr>
              <w:t>More mature very likely higher ((95/4/1)</w:t>
            </w:r>
          </w:p>
        </w:tc>
      </w:tr>
      <w:tr w:rsidR="00835C45" w:rsidRPr="0056612C" w14:paraId="62ADD080" w14:textId="77777777" w:rsidTr="005C2571">
        <w:trPr>
          <w:trHeight w:hRule="exact" w:val="340"/>
          <w:jc w:val="center"/>
        </w:trPr>
        <w:tc>
          <w:tcPr>
            <w:tcW w:w="903" w:type="dxa"/>
            <w:vAlign w:val="center"/>
          </w:tcPr>
          <w:p w14:paraId="37651D9A"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REL</w:t>
            </w:r>
          </w:p>
        </w:tc>
        <w:tc>
          <w:tcPr>
            <w:tcW w:w="825" w:type="dxa"/>
            <w:vAlign w:val="center"/>
          </w:tcPr>
          <w:p w14:paraId="3D2D61CE"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cm/year</w:t>
            </w:r>
          </w:p>
        </w:tc>
        <w:tc>
          <w:tcPr>
            <w:tcW w:w="566" w:type="dxa"/>
            <w:vAlign w:val="center"/>
          </w:tcPr>
          <w:p w14:paraId="110DF2E8"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29</w:t>
            </w:r>
          </w:p>
        </w:tc>
        <w:tc>
          <w:tcPr>
            <w:tcW w:w="708" w:type="dxa"/>
            <w:vAlign w:val="center"/>
          </w:tcPr>
          <w:p w14:paraId="5F2C644E"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-0.67</w:t>
            </w:r>
          </w:p>
        </w:tc>
        <w:tc>
          <w:tcPr>
            <w:tcW w:w="711" w:type="dxa"/>
            <w:vAlign w:val="center"/>
          </w:tcPr>
          <w:p w14:paraId="4510DCC0"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0.507</w:t>
            </w:r>
          </w:p>
        </w:tc>
        <w:tc>
          <w:tcPr>
            <w:tcW w:w="1837" w:type="dxa"/>
            <w:vAlign w:val="center"/>
          </w:tcPr>
          <w:p w14:paraId="32F1987A"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-0.17 (-0.7 to 0.4)</w:t>
            </w:r>
          </w:p>
        </w:tc>
        <w:tc>
          <w:tcPr>
            <w:tcW w:w="567" w:type="dxa"/>
            <w:vAlign w:val="center"/>
          </w:tcPr>
          <w:p w14:paraId="79735B48" w14:textId="77777777" w:rsidR="00835C45" w:rsidRPr="0056612C" w:rsidRDefault="00835C45" w:rsidP="005C2571">
            <w:pPr>
              <w:jc w:val="center"/>
              <w:rPr>
                <w:rFonts w:ascii="Times New Roman" w:hAnsi="Times New Roman" w:cs="Times New Roman"/>
                <w:sz w:val="18"/>
                <w:szCs w:val="18"/>
                <w:lang w:val="en-US"/>
              </w:rPr>
            </w:pPr>
            <w:r>
              <w:rPr>
                <w:rFonts w:ascii="Times New Roman" w:hAnsi="Times New Roman" w:cs="Times New Roman"/>
                <w:sz w:val="18"/>
                <w:szCs w:val="18"/>
                <w:lang w:val="en-US"/>
              </w:rPr>
              <w:t>0.02</w:t>
            </w:r>
          </w:p>
        </w:tc>
        <w:tc>
          <w:tcPr>
            <w:tcW w:w="3664" w:type="dxa"/>
            <w:vAlign w:val="center"/>
          </w:tcPr>
          <w:p w14:paraId="5981C6A0" w14:textId="77777777" w:rsidR="00835C45" w:rsidRPr="0056612C" w:rsidRDefault="00835C45" w:rsidP="005C2571">
            <w:pPr>
              <w:jc w:val="center"/>
              <w:rPr>
                <w:rFonts w:ascii="Times New Roman" w:hAnsi="Times New Roman" w:cs="Times New Roman"/>
                <w:i/>
                <w:iCs/>
                <w:sz w:val="18"/>
                <w:szCs w:val="18"/>
                <w:lang w:val="en-US"/>
              </w:rPr>
            </w:pPr>
            <w:r w:rsidRPr="0056612C">
              <w:rPr>
                <w:rFonts w:ascii="Times New Roman" w:hAnsi="Times New Roman" w:cs="Times New Roman"/>
                <w:i/>
                <w:iCs/>
                <w:sz w:val="18"/>
                <w:szCs w:val="18"/>
                <w:lang w:val="en-US"/>
              </w:rPr>
              <w:t>Most likely trivial (0/100/0)</w:t>
            </w:r>
          </w:p>
        </w:tc>
      </w:tr>
      <w:tr w:rsidR="00835C45" w:rsidRPr="0056612C" w14:paraId="7144C739" w14:textId="77777777" w:rsidTr="005C2571">
        <w:trPr>
          <w:trHeight w:hRule="exact" w:val="340"/>
          <w:jc w:val="center"/>
        </w:trPr>
        <w:tc>
          <w:tcPr>
            <w:tcW w:w="903" w:type="dxa"/>
            <w:vMerge w:val="restart"/>
            <w:vAlign w:val="center"/>
          </w:tcPr>
          <w:p w14:paraId="41249950" w14:textId="77777777" w:rsidR="00835C45" w:rsidRPr="0056612C" w:rsidRDefault="00835C45" w:rsidP="005C2571">
            <w:pPr>
              <w:jc w:val="center"/>
              <w:rPr>
                <w:rFonts w:ascii="Times New Roman" w:hAnsi="Times New Roman" w:cs="Times New Roman"/>
                <w:sz w:val="18"/>
                <w:szCs w:val="18"/>
                <w:lang w:val="en-US"/>
              </w:rPr>
            </w:pPr>
          </w:p>
        </w:tc>
        <w:tc>
          <w:tcPr>
            <w:tcW w:w="825" w:type="dxa"/>
            <w:vAlign w:val="center"/>
          </w:tcPr>
          <w:p w14:paraId="341A7199"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5%</w:t>
            </w:r>
          </w:p>
        </w:tc>
        <w:tc>
          <w:tcPr>
            <w:tcW w:w="566" w:type="dxa"/>
            <w:vAlign w:val="center"/>
          </w:tcPr>
          <w:p w14:paraId="7584C4C2"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57</w:t>
            </w:r>
          </w:p>
        </w:tc>
        <w:tc>
          <w:tcPr>
            <w:tcW w:w="708" w:type="dxa"/>
            <w:vAlign w:val="center"/>
          </w:tcPr>
          <w:p w14:paraId="017D3FF1"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1.1</w:t>
            </w:r>
          </w:p>
        </w:tc>
        <w:tc>
          <w:tcPr>
            <w:tcW w:w="711" w:type="dxa"/>
            <w:vAlign w:val="center"/>
          </w:tcPr>
          <w:p w14:paraId="3D0A9E99"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0.285</w:t>
            </w:r>
          </w:p>
        </w:tc>
        <w:tc>
          <w:tcPr>
            <w:tcW w:w="1837" w:type="dxa"/>
            <w:vAlign w:val="center"/>
          </w:tcPr>
          <w:p w14:paraId="5B732734"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2.7 (-2.3 to 7.7)</w:t>
            </w:r>
          </w:p>
        </w:tc>
        <w:tc>
          <w:tcPr>
            <w:tcW w:w="567" w:type="dxa"/>
            <w:vAlign w:val="center"/>
          </w:tcPr>
          <w:p w14:paraId="6BB3D01A"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0.57</w:t>
            </w:r>
          </w:p>
        </w:tc>
        <w:tc>
          <w:tcPr>
            <w:tcW w:w="3664" w:type="dxa"/>
            <w:vAlign w:val="center"/>
          </w:tcPr>
          <w:p w14:paraId="6C4369F5" w14:textId="77777777" w:rsidR="00835C45" w:rsidRPr="0056612C" w:rsidRDefault="00835C45" w:rsidP="005C2571">
            <w:pPr>
              <w:jc w:val="center"/>
              <w:rPr>
                <w:rFonts w:ascii="Times New Roman" w:hAnsi="Times New Roman" w:cs="Times New Roman"/>
                <w:i/>
                <w:iCs/>
                <w:sz w:val="18"/>
                <w:szCs w:val="18"/>
                <w:lang w:val="en-US"/>
              </w:rPr>
            </w:pPr>
            <w:r w:rsidRPr="0056612C">
              <w:rPr>
                <w:rFonts w:ascii="Times New Roman" w:hAnsi="Times New Roman" w:cs="Times New Roman"/>
                <w:i/>
                <w:iCs/>
                <w:sz w:val="18"/>
                <w:szCs w:val="18"/>
                <w:lang w:val="en-US"/>
              </w:rPr>
              <w:t>Unclear (65/30/5)</w:t>
            </w:r>
          </w:p>
        </w:tc>
      </w:tr>
      <w:tr w:rsidR="00835C45" w:rsidRPr="0056612C" w14:paraId="709E0050" w14:textId="77777777" w:rsidTr="005C2571">
        <w:trPr>
          <w:trHeight w:hRule="exact" w:val="340"/>
          <w:jc w:val="center"/>
        </w:trPr>
        <w:tc>
          <w:tcPr>
            <w:tcW w:w="903" w:type="dxa"/>
            <w:vMerge/>
            <w:tcBorders>
              <w:bottom w:val="single" w:sz="4" w:space="0" w:color="auto"/>
            </w:tcBorders>
            <w:vAlign w:val="center"/>
          </w:tcPr>
          <w:p w14:paraId="769BD335" w14:textId="77777777" w:rsidR="00835C45" w:rsidRPr="0056612C" w:rsidRDefault="00835C45" w:rsidP="005C2571">
            <w:pPr>
              <w:jc w:val="center"/>
              <w:rPr>
                <w:rFonts w:ascii="Times New Roman" w:hAnsi="Times New Roman" w:cs="Times New Roman"/>
                <w:sz w:val="18"/>
                <w:szCs w:val="18"/>
                <w:lang w:val="en-US"/>
              </w:rPr>
            </w:pPr>
          </w:p>
        </w:tc>
        <w:tc>
          <w:tcPr>
            <w:tcW w:w="825" w:type="dxa"/>
            <w:tcBorders>
              <w:bottom w:val="single" w:sz="4" w:space="0" w:color="auto"/>
            </w:tcBorders>
            <w:vAlign w:val="center"/>
          </w:tcPr>
          <w:p w14:paraId="5302A20C"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10%</w:t>
            </w:r>
          </w:p>
        </w:tc>
        <w:tc>
          <w:tcPr>
            <w:tcW w:w="566" w:type="dxa"/>
            <w:tcBorders>
              <w:bottom w:val="single" w:sz="4" w:space="0" w:color="auto"/>
            </w:tcBorders>
            <w:vAlign w:val="center"/>
          </w:tcPr>
          <w:p w14:paraId="270F81B3"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48</w:t>
            </w:r>
          </w:p>
        </w:tc>
        <w:tc>
          <w:tcPr>
            <w:tcW w:w="708" w:type="dxa"/>
            <w:tcBorders>
              <w:bottom w:val="single" w:sz="4" w:space="0" w:color="auto"/>
            </w:tcBorders>
            <w:vAlign w:val="center"/>
          </w:tcPr>
          <w:p w14:paraId="18EF739E"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1.1</w:t>
            </w:r>
          </w:p>
        </w:tc>
        <w:tc>
          <w:tcPr>
            <w:tcW w:w="711" w:type="dxa"/>
            <w:tcBorders>
              <w:bottom w:val="single" w:sz="4" w:space="0" w:color="auto"/>
            </w:tcBorders>
            <w:vAlign w:val="center"/>
          </w:tcPr>
          <w:p w14:paraId="353321BB"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0.255</w:t>
            </w:r>
          </w:p>
        </w:tc>
        <w:tc>
          <w:tcPr>
            <w:tcW w:w="1837" w:type="dxa"/>
            <w:tcBorders>
              <w:bottom w:val="single" w:sz="4" w:space="0" w:color="auto"/>
            </w:tcBorders>
            <w:vAlign w:val="center"/>
          </w:tcPr>
          <w:p w14:paraId="05A1D8A8"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6.1 (-4.5 to 16.8)</w:t>
            </w:r>
          </w:p>
        </w:tc>
        <w:tc>
          <w:tcPr>
            <w:tcW w:w="567" w:type="dxa"/>
            <w:tcBorders>
              <w:bottom w:val="single" w:sz="4" w:space="0" w:color="auto"/>
            </w:tcBorders>
            <w:vAlign w:val="center"/>
          </w:tcPr>
          <w:p w14:paraId="2D0150B7" w14:textId="77777777" w:rsidR="00835C45" w:rsidRPr="0056612C" w:rsidRDefault="00835C45" w:rsidP="005C2571">
            <w:pPr>
              <w:jc w:val="center"/>
              <w:rPr>
                <w:rFonts w:ascii="Times New Roman" w:hAnsi="Times New Roman" w:cs="Times New Roman"/>
                <w:sz w:val="18"/>
                <w:szCs w:val="18"/>
                <w:lang w:val="en-US"/>
              </w:rPr>
            </w:pPr>
            <w:r w:rsidRPr="0056612C">
              <w:rPr>
                <w:rFonts w:ascii="Times New Roman" w:hAnsi="Times New Roman" w:cs="Times New Roman"/>
                <w:sz w:val="18"/>
                <w:szCs w:val="18"/>
                <w:lang w:val="en-US"/>
              </w:rPr>
              <w:t>1.73</w:t>
            </w:r>
          </w:p>
        </w:tc>
        <w:tc>
          <w:tcPr>
            <w:tcW w:w="3664" w:type="dxa"/>
            <w:tcBorders>
              <w:bottom w:val="single" w:sz="4" w:space="0" w:color="auto"/>
            </w:tcBorders>
            <w:vAlign w:val="center"/>
          </w:tcPr>
          <w:p w14:paraId="2682525A" w14:textId="77777777" w:rsidR="00835C45" w:rsidRPr="0056612C" w:rsidRDefault="00835C45" w:rsidP="005C2571">
            <w:pPr>
              <w:jc w:val="center"/>
              <w:rPr>
                <w:rFonts w:ascii="Times New Roman" w:hAnsi="Times New Roman" w:cs="Times New Roman"/>
                <w:i/>
                <w:iCs/>
                <w:sz w:val="18"/>
                <w:szCs w:val="18"/>
                <w:lang w:val="en-US"/>
              </w:rPr>
            </w:pPr>
            <w:r w:rsidRPr="0056612C">
              <w:rPr>
                <w:rFonts w:ascii="Times New Roman" w:hAnsi="Times New Roman" w:cs="Times New Roman"/>
                <w:i/>
                <w:iCs/>
                <w:sz w:val="18"/>
                <w:szCs w:val="18"/>
                <w:lang w:val="en-US"/>
              </w:rPr>
              <w:t>Unclear (80/14/6)</w:t>
            </w:r>
          </w:p>
        </w:tc>
      </w:tr>
      <w:tr w:rsidR="00835C45" w:rsidRPr="00B06A4F" w14:paraId="38F26075" w14:textId="77777777" w:rsidTr="005C2571">
        <w:trPr>
          <w:trHeight w:hRule="exact" w:val="863"/>
          <w:jc w:val="center"/>
        </w:trPr>
        <w:tc>
          <w:tcPr>
            <w:tcW w:w="9781" w:type="dxa"/>
            <w:gridSpan w:val="8"/>
            <w:tcBorders>
              <w:top w:val="single" w:sz="4" w:space="0" w:color="auto"/>
            </w:tcBorders>
          </w:tcPr>
          <w:p w14:paraId="787EF10C" w14:textId="77777777" w:rsidR="00835C45" w:rsidRPr="0056612C" w:rsidRDefault="00835C45" w:rsidP="005C2571">
            <w:pPr>
              <w:rPr>
                <w:rFonts w:ascii="Times New Roman" w:hAnsi="Times New Roman" w:cs="Times New Roman"/>
                <w:sz w:val="18"/>
                <w:szCs w:val="18"/>
                <w:lang w:val="en-US"/>
              </w:rPr>
            </w:pPr>
            <w:r w:rsidRPr="004B01EA">
              <w:rPr>
                <w:rFonts w:ascii="Times New Roman" w:hAnsi="Times New Roman" w:cs="Times New Roman"/>
                <w:sz w:val="16"/>
                <w:szCs w:val="16"/>
                <w:lang w:val="en-US"/>
              </w:rPr>
              <w:t xml:space="preserve">Abbreviations: RPE, rating of perceived exertion; sRPE, sessional-RPE; RPE-B, breathlessness; RPE-L, leg muscle exertion; RPE-T, Technical/cognitive exertion; CMJ, countermovement jump; RSI, reactive strength index; ABS, absolute stiffness; REL, relative stiffness; cm/year, maturation tempo; PAH%, percentage of adult height; </w:t>
            </w:r>
            <w:proofErr w:type="spellStart"/>
            <w:r w:rsidRPr="004B01EA">
              <w:rPr>
                <w:rFonts w:ascii="Times New Roman" w:hAnsi="Times New Roman" w:cs="Times New Roman"/>
                <w:i/>
                <w:iCs/>
                <w:sz w:val="16"/>
                <w:szCs w:val="16"/>
                <w:lang w:val="en-US"/>
              </w:rPr>
              <w:t>df</w:t>
            </w:r>
            <w:proofErr w:type="spellEnd"/>
            <w:r w:rsidRPr="004B01EA">
              <w:rPr>
                <w:rFonts w:ascii="Times New Roman" w:hAnsi="Times New Roman" w:cs="Times New Roman"/>
                <w:sz w:val="16"/>
                <w:szCs w:val="16"/>
                <w:lang w:val="en-US"/>
              </w:rPr>
              <w:t xml:space="preserve">, degrees of freedom; </w:t>
            </w:r>
            <w:r w:rsidRPr="004B01EA">
              <w:rPr>
                <w:rFonts w:ascii="Times New Roman" w:hAnsi="Times New Roman" w:cs="Times New Roman"/>
                <w:i/>
                <w:iCs/>
                <w:sz w:val="16"/>
                <w:szCs w:val="16"/>
                <w:lang w:val="en-US"/>
              </w:rPr>
              <w:t>t</w:t>
            </w:r>
            <w:r w:rsidRPr="004B01EA">
              <w:rPr>
                <w:rFonts w:ascii="Times New Roman" w:hAnsi="Times New Roman" w:cs="Times New Roman"/>
                <w:sz w:val="16"/>
                <w:szCs w:val="16"/>
                <w:lang w:val="en-US"/>
              </w:rPr>
              <w:t xml:space="preserve">, t-statistic; </w:t>
            </w:r>
            <w:r w:rsidRPr="004B01EA">
              <w:rPr>
                <w:rFonts w:ascii="Times New Roman" w:hAnsi="Times New Roman" w:cs="Times New Roman"/>
                <w:i/>
                <w:iCs/>
                <w:sz w:val="16"/>
                <w:szCs w:val="16"/>
                <w:lang w:val="en-US"/>
              </w:rPr>
              <w:t>P</w:t>
            </w:r>
            <w:r w:rsidRPr="004B01EA">
              <w:rPr>
                <w:rFonts w:ascii="Times New Roman" w:hAnsi="Times New Roman" w:cs="Times New Roman"/>
                <w:sz w:val="16"/>
                <w:szCs w:val="16"/>
                <w:lang w:val="en-US"/>
              </w:rPr>
              <w:t>, p-value</w:t>
            </w:r>
            <w:r>
              <w:rPr>
                <w:rFonts w:ascii="Times New Roman" w:hAnsi="Times New Roman" w:cs="Times New Roman"/>
                <w:sz w:val="16"/>
                <w:szCs w:val="16"/>
                <w:lang w:val="en-US"/>
              </w:rPr>
              <w:t>; * denotes significant p-value &lt;0.05</w:t>
            </w:r>
          </w:p>
        </w:tc>
      </w:tr>
    </w:tbl>
    <w:p w14:paraId="456B2F29" w14:textId="77777777" w:rsidR="00835C45" w:rsidRDefault="00835C45" w:rsidP="00835C45">
      <w:pPr>
        <w:tabs>
          <w:tab w:val="left" w:pos="2337"/>
        </w:tabs>
        <w:rPr>
          <w:rFonts w:ascii="Times New Roman" w:hAnsi="Times New Roman" w:cs="Times New Roman"/>
          <w:sz w:val="20"/>
          <w:szCs w:val="20"/>
        </w:rPr>
      </w:pPr>
      <w:r>
        <w:rPr>
          <w:rFonts w:ascii="Times New Roman" w:hAnsi="Times New Roman" w:cs="Times New Roman"/>
          <w:sz w:val="20"/>
          <w:szCs w:val="20"/>
        </w:rPr>
        <w:br w:type="page"/>
      </w:r>
    </w:p>
    <w:p w14:paraId="3BFD1CC0" w14:textId="77777777" w:rsidR="00835C45" w:rsidRDefault="00835C45" w:rsidP="00835C45">
      <w:pPr>
        <w:tabs>
          <w:tab w:val="left" w:pos="2337"/>
        </w:tabs>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47CF445A" wp14:editId="757E0177">
            <wp:extent cx="5086729" cy="3049902"/>
            <wp:effectExtent l="0" t="0" r="0" b="0"/>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00602" cy="3058220"/>
                    </a:xfrm>
                    <a:prstGeom prst="rect">
                      <a:avLst/>
                    </a:prstGeom>
                  </pic:spPr>
                </pic:pic>
              </a:graphicData>
            </a:graphic>
          </wp:inline>
        </w:drawing>
      </w:r>
    </w:p>
    <w:p w14:paraId="7844B7F4" w14:textId="77777777" w:rsidR="00835C45" w:rsidRDefault="00835C45" w:rsidP="00835C45">
      <w:pPr>
        <w:tabs>
          <w:tab w:val="left" w:pos="2337"/>
        </w:tabs>
        <w:rPr>
          <w:rFonts w:ascii="Times New Roman" w:hAnsi="Times New Roman" w:cs="Times New Roman"/>
          <w:sz w:val="20"/>
          <w:szCs w:val="20"/>
        </w:rPr>
      </w:pPr>
    </w:p>
    <w:p w14:paraId="7F521368" w14:textId="77777777" w:rsidR="00835C45" w:rsidRPr="00612565" w:rsidRDefault="00835C45" w:rsidP="00835C45">
      <w:pPr>
        <w:spacing w:line="480" w:lineRule="auto"/>
        <w:jc w:val="center"/>
        <w:rPr>
          <w:rFonts w:ascii="Times New Roman" w:hAnsi="Times New Roman" w:cs="Times New Roman"/>
          <w:sz w:val="18"/>
          <w:szCs w:val="18"/>
        </w:rPr>
      </w:pPr>
      <w:r w:rsidRPr="00612565">
        <w:rPr>
          <w:rFonts w:ascii="Times New Roman" w:hAnsi="Times New Roman" w:cs="Times New Roman"/>
          <w:sz w:val="18"/>
          <w:szCs w:val="18"/>
        </w:rPr>
        <w:t xml:space="preserve">Figure </w:t>
      </w:r>
      <w:r>
        <w:rPr>
          <w:rFonts w:ascii="Times New Roman" w:hAnsi="Times New Roman" w:cs="Times New Roman"/>
          <w:sz w:val="18"/>
          <w:szCs w:val="18"/>
        </w:rPr>
        <w:t>2</w:t>
      </w:r>
      <w:r w:rsidRPr="00612565">
        <w:rPr>
          <w:rFonts w:ascii="Times New Roman" w:hAnsi="Times New Roman" w:cs="Times New Roman"/>
          <w:sz w:val="18"/>
          <w:szCs w:val="18"/>
        </w:rPr>
        <w:t>. Forecasted accumulated training load differences in sRPE over a typical season for players of varied maturation</w:t>
      </w:r>
    </w:p>
    <w:p w14:paraId="0ABF8215" w14:textId="77777777" w:rsidR="00835C45" w:rsidRPr="00A43C9C" w:rsidRDefault="00835C45" w:rsidP="00835C45">
      <w:pPr>
        <w:tabs>
          <w:tab w:val="left" w:pos="2337"/>
        </w:tabs>
        <w:rPr>
          <w:rFonts w:ascii="Times New Roman" w:hAnsi="Times New Roman" w:cs="Times New Roman"/>
          <w:sz w:val="20"/>
          <w:szCs w:val="20"/>
        </w:rPr>
      </w:pPr>
    </w:p>
    <w:p w14:paraId="7B026138" w14:textId="77777777" w:rsidR="004F4722" w:rsidRDefault="004F4722"/>
    <w:sectPr w:rsidR="004F4722" w:rsidSect="00590287">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416BE"/>
    <w:multiLevelType w:val="hybridMultilevel"/>
    <w:tmpl w:val="CBF29A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914CEA"/>
    <w:multiLevelType w:val="hybridMultilevel"/>
    <w:tmpl w:val="979E1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283467"/>
    <w:multiLevelType w:val="hybridMultilevel"/>
    <w:tmpl w:val="1EAE6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9951FE"/>
    <w:multiLevelType w:val="hybridMultilevel"/>
    <w:tmpl w:val="39F613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9D42CC"/>
    <w:multiLevelType w:val="hybridMultilevel"/>
    <w:tmpl w:val="39F613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C65F64"/>
    <w:multiLevelType w:val="hybridMultilevel"/>
    <w:tmpl w:val="61B27AB4"/>
    <w:lvl w:ilvl="0" w:tplc="DE64273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573195">
    <w:abstractNumId w:val="5"/>
  </w:num>
  <w:num w:numId="2" w16cid:durableId="1711032520">
    <w:abstractNumId w:val="0"/>
  </w:num>
  <w:num w:numId="3" w16cid:durableId="97679186">
    <w:abstractNumId w:val="4"/>
  </w:num>
  <w:num w:numId="4" w16cid:durableId="1094589199">
    <w:abstractNumId w:val="3"/>
  </w:num>
  <w:num w:numId="5" w16cid:durableId="378406007">
    <w:abstractNumId w:val="2"/>
  </w:num>
  <w:num w:numId="6" w16cid:durableId="516308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45"/>
    <w:rsid w:val="0008264B"/>
    <w:rsid w:val="000E49AF"/>
    <w:rsid w:val="002A6B2F"/>
    <w:rsid w:val="002D3532"/>
    <w:rsid w:val="004F4722"/>
    <w:rsid w:val="005561AC"/>
    <w:rsid w:val="00835C45"/>
    <w:rsid w:val="00932478"/>
    <w:rsid w:val="00935039"/>
    <w:rsid w:val="00983E02"/>
    <w:rsid w:val="00A2361E"/>
    <w:rsid w:val="00AA1E68"/>
    <w:rsid w:val="00B94CCD"/>
    <w:rsid w:val="00B95B0C"/>
    <w:rsid w:val="00D22DF7"/>
    <w:rsid w:val="00DA3FCE"/>
    <w:rsid w:val="00DD6C54"/>
    <w:rsid w:val="00DF0C2E"/>
    <w:rsid w:val="00E02C16"/>
    <w:rsid w:val="00E0686A"/>
    <w:rsid w:val="00F86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8E01"/>
  <w15:chartTrackingRefBased/>
  <w15:docId w15:val="{31784EA5-8380-7948-B5BC-B23F43A7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C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C45"/>
    <w:pPr>
      <w:ind w:left="720"/>
      <w:contextualSpacing/>
    </w:pPr>
  </w:style>
  <w:style w:type="paragraph" w:styleId="Bibliography">
    <w:name w:val="Bibliography"/>
    <w:basedOn w:val="Normal"/>
    <w:next w:val="Normal"/>
    <w:uiPriority w:val="37"/>
    <w:unhideWhenUsed/>
    <w:rsid w:val="00835C45"/>
    <w:pPr>
      <w:tabs>
        <w:tab w:val="left" w:pos="500"/>
      </w:tabs>
      <w:spacing w:line="480" w:lineRule="auto"/>
      <w:ind w:left="720" w:hanging="720"/>
    </w:pPr>
  </w:style>
  <w:style w:type="paragraph" w:styleId="BalloonText">
    <w:name w:val="Balloon Text"/>
    <w:basedOn w:val="Normal"/>
    <w:link w:val="BalloonTextChar"/>
    <w:uiPriority w:val="99"/>
    <w:semiHidden/>
    <w:unhideWhenUsed/>
    <w:rsid w:val="00835C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5C4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35C45"/>
    <w:rPr>
      <w:sz w:val="16"/>
      <w:szCs w:val="16"/>
    </w:rPr>
  </w:style>
  <w:style w:type="paragraph" w:styleId="CommentText">
    <w:name w:val="annotation text"/>
    <w:basedOn w:val="Normal"/>
    <w:link w:val="CommentTextChar"/>
    <w:uiPriority w:val="99"/>
    <w:unhideWhenUsed/>
    <w:rsid w:val="00835C45"/>
    <w:rPr>
      <w:sz w:val="20"/>
      <w:szCs w:val="20"/>
    </w:rPr>
  </w:style>
  <w:style w:type="character" w:customStyle="1" w:styleId="CommentTextChar">
    <w:name w:val="Comment Text Char"/>
    <w:basedOn w:val="DefaultParagraphFont"/>
    <w:link w:val="CommentText"/>
    <w:uiPriority w:val="99"/>
    <w:rsid w:val="00835C45"/>
    <w:rPr>
      <w:sz w:val="20"/>
      <w:szCs w:val="20"/>
    </w:rPr>
  </w:style>
  <w:style w:type="paragraph" w:styleId="CommentSubject">
    <w:name w:val="annotation subject"/>
    <w:basedOn w:val="CommentText"/>
    <w:next w:val="CommentText"/>
    <w:link w:val="CommentSubjectChar"/>
    <w:uiPriority w:val="99"/>
    <w:semiHidden/>
    <w:unhideWhenUsed/>
    <w:rsid w:val="00835C45"/>
    <w:rPr>
      <w:b/>
      <w:bCs/>
    </w:rPr>
  </w:style>
  <w:style w:type="character" w:customStyle="1" w:styleId="CommentSubjectChar">
    <w:name w:val="Comment Subject Char"/>
    <w:basedOn w:val="CommentTextChar"/>
    <w:link w:val="CommentSubject"/>
    <w:uiPriority w:val="99"/>
    <w:semiHidden/>
    <w:rsid w:val="00835C45"/>
    <w:rPr>
      <w:b/>
      <w:bCs/>
      <w:sz w:val="20"/>
      <w:szCs w:val="20"/>
    </w:rPr>
  </w:style>
  <w:style w:type="paragraph" w:styleId="NormalWeb">
    <w:name w:val="Normal (Web)"/>
    <w:basedOn w:val="Normal"/>
    <w:uiPriority w:val="99"/>
    <w:unhideWhenUsed/>
    <w:rsid w:val="00835C45"/>
    <w:pPr>
      <w:spacing w:before="100" w:beforeAutospacing="1" w:after="100" w:afterAutospacing="1"/>
    </w:pPr>
    <w:rPr>
      <w:rFonts w:ascii="Times New Roman" w:eastAsia="Times New Roman" w:hAnsi="Times New Roman" w:cs="Times New Roman"/>
      <w:lang w:val="es-ES" w:eastAsia="es-ES_tradnl"/>
    </w:rPr>
  </w:style>
  <w:style w:type="table" w:styleId="TableGrid">
    <w:name w:val="Table Grid"/>
    <w:basedOn w:val="TableNormal"/>
    <w:uiPriority w:val="39"/>
    <w:rsid w:val="00835C45"/>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35C45"/>
  </w:style>
  <w:style w:type="paragraph" w:styleId="Revision">
    <w:name w:val="Revision"/>
    <w:hidden/>
    <w:uiPriority w:val="99"/>
    <w:semiHidden/>
    <w:rsid w:val="00835C45"/>
  </w:style>
  <w:style w:type="character" w:styleId="Hyperlink">
    <w:name w:val="Hyperlink"/>
    <w:basedOn w:val="DefaultParagraphFont"/>
    <w:uiPriority w:val="99"/>
    <w:unhideWhenUsed/>
    <w:rsid w:val="00835C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salter@yorksj.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19</Pages>
  <Words>23400</Words>
  <Characters>133385</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Salter</dc:creator>
  <cp:keywords/>
  <dc:description/>
  <cp:lastModifiedBy>Jamie Salter</cp:lastModifiedBy>
  <cp:revision>16</cp:revision>
  <dcterms:created xsi:type="dcterms:W3CDTF">2021-07-21T13:59:00Z</dcterms:created>
  <dcterms:modified xsi:type="dcterms:W3CDTF">2022-06-15T08:45:00Z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id="yyViyKf2"/&gt;&lt;style id="http://www.zotero.org/styles/apa" locale="en-GB" hasBibliography="1" bibliographyStyleHasBeenSet="1"/&gt;&lt;prefs&gt;&lt;pref name="fieldType" value="Field"/&gt;&lt;pref name="delayCitationUp</vt:lpwstr>
  </property>
  <property fmtid="{D5CDD505-2E9C-101B-9397-08002B2CF9AE}" pid="3" name="ZOTERO_PREF_2">
    <vt:lpwstr>dates" value="true"/&gt;&lt;pref name="dontAskDelayCitationUpdates" value="true"/&gt;&lt;/prefs&gt;&lt;/data&gt;</vt:lpwstr>
  </property>
</Properties>
</file>